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028" w:rsidRPr="00161C13" w:rsidRDefault="00437028" w:rsidP="004B0843">
      <w:pPr>
        <w:jc w:val="center"/>
        <w:rPr>
          <w:rFonts w:ascii="Times New Roman" w:hAnsi="Times New Roman"/>
          <w:b/>
          <w:sz w:val="24"/>
          <w:szCs w:val="24"/>
        </w:rPr>
      </w:pPr>
    </w:p>
    <w:p w:rsidR="004B0843" w:rsidRPr="00161C13" w:rsidRDefault="004B0843" w:rsidP="004B0843">
      <w:pPr>
        <w:jc w:val="center"/>
        <w:rPr>
          <w:rFonts w:ascii="Times New Roman" w:hAnsi="Times New Roman"/>
          <w:b/>
          <w:sz w:val="32"/>
          <w:szCs w:val="32"/>
        </w:rPr>
      </w:pPr>
      <w:r w:rsidRPr="00161C13">
        <w:rPr>
          <w:rFonts w:ascii="Times New Roman" w:hAnsi="Times New Roman"/>
          <w:b/>
          <w:sz w:val="32"/>
          <w:szCs w:val="32"/>
        </w:rPr>
        <w:t>“</w:t>
      </w:r>
      <w:r w:rsidR="00940209" w:rsidRPr="00161C13">
        <w:rPr>
          <w:rFonts w:ascii="Times New Roman" w:hAnsi="Times New Roman"/>
          <w:b/>
          <w:sz w:val="32"/>
          <w:szCs w:val="32"/>
        </w:rPr>
        <w:t xml:space="preserve">EDET </w:t>
      </w:r>
      <w:r w:rsidRPr="00161C13">
        <w:rPr>
          <w:rFonts w:ascii="Times New Roman" w:hAnsi="Times New Roman"/>
          <w:b/>
          <w:sz w:val="32"/>
          <w:szCs w:val="32"/>
        </w:rPr>
        <w:t xml:space="preserve"> S.A.”</w:t>
      </w:r>
    </w:p>
    <w:p w:rsidR="004B0843" w:rsidRPr="00161C13" w:rsidRDefault="004B0843" w:rsidP="004B0843">
      <w:pPr>
        <w:jc w:val="center"/>
        <w:rPr>
          <w:rFonts w:ascii="Times New Roman" w:hAnsi="Times New Roman"/>
          <w:b/>
          <w:sz w:val="32"/>
          <w:szCs w:val="32"/>
        </w:rPr>
      </w:pPr>
    </w:p>
    <w:p w:rsidR="004B0843" w:rsidRPr="00161C13" w:rsidRDefault="004B0843" w:rsidP="004B0843">
      <w:pPr>
        <w:jc w:val="center"/>
        <w:rPr>
          <w:rFonts w:ascii="Times New Roman" w:hAnsi="Times New Roman"/>
          <w:b/>
          <w:sz w:val="32"/>
          <w:szCs w:val="32"/>
        </w:rPr>
      </w:pPr>
      <w:r w:rsidRPr="00161C13">
        <w:rPr>
          <w:rFonts w:ascii="Times New Roman" w:hAnsi="Times New Roman"/>
          <w:b/>
          <w:sz w:val="32"/>
          <w:szCs w:val="32"/>
        </w:rPr>
        <w:t>LICITACIÓN PÚBLICA</w:t>
      </w:r>
    </w:p>
    <w:p w:rsidR="004B0843" w:rsidRPr="00161C13" w:rsidRDefault="004B0843" w:rsidP="004B0843">
      <w:pPr>
        <w:jc w:val="center"/>
        <w:rPr>
          <w:rFonts w:ascii="Times New Roman" w:hAnsi="Times New Roman"/>
          <w:b/>
          <w:sz w:val="32"/>
          <w:szCs w:val="32"/>
        </w:rPr>
      </w:pPr>
    </w:p>
    <w:p w:rsidR="004B0843" w:rsidRPr="00161C13" w:rsidRDefault="004B0843" w:rsidP="004B0843">
      <w:pPr>
        <w:pStyle w:val="Ttulo4"/>
        <w:rPr>
          <w:sz w:val="32"/>
          <w:szCs w:val="32"/>
        </w:rPr>
      </w:pPr>
      <w:r w:rsidRPr="00161C13">
        <w:rPr>
          <w:sz w:val="32"/>
          <w:szCs w:val="32"/>
        </w:rPr>
        <w:t xml:space="preserve">Nº </w:t>
      </w:r>
      <w:r w:rsidR="007207DF" w:rsidRPr="00161C13">
        <w:rPr>
          <w:sz w:val="32"/>
          <w:szCs w:val="32"/>
        </w:rPr>
        <w:t>0</w:t>
      </w:r>
      <w:r w:rsidR="00ED08AE" w:rsidRPr="00161C13">
        <w:rPr>
          <w:sz w:val="32"/>
          <w:szCs w:val="32"/>
        </w:rPr>
        <w:t>2</w:t>
      </w:r>
      <w:r w:rsidR="00940209" w:rsidRPr="00161C13">
        <w:rPr>
          <w:sz w:val="32"/>
          <w:szCs w:val="32"/>
        </w:rPr>
        <w:t>/20</w:t>
      </w:r>
      <w:r w:rsidR="0099541C" w:rsidRPr="00161C13">
        <w:rPr>
          <w:sz w:val="32"/>
          <w:szCs w:val="32"/>
        </w:rPr>
        <w:t>16</w:t>
      </w:r>
    </w:p>
    <w:p w:rsidR="00437028" w:rsidRPr="00161C13" w:rsidRDefault="00437028" w:rsidP="00437028">
      <w:pPr>
        <w:rPr>
          <w:rFonts w:ascii="Times New Roman" w:hAnsi="Times New Roman"/>
          <w:sz w:val="32"/>
          <w:szCs w:val="32"/>
        </w:rPr>
      </w:pPr>
    </w:p>
    <w:p w:rsidR="00940209" w:rsidRPr="00161C13" w:rsidRDefault="00940209" w:rsidP="00940209">
      <w:pPr>
        <w:rPr>
          <w:rFonts w:ascii="Times New Roman" w:hAnsi="Times New Roman"/>
          <w:sz w:val="32"/>
          <w:szCs w:val="32"/>
        </w:rPr>
      </w:pPr>
    </w:p>
    <w:p w:rsidR="00ED08AE" w:rsidRPr="00ED08AE" w:rsidRDefault="00ED08AE" w:rsidP="00ED08AE">
      <w:pPr>
        <w:autoSpaceDE w:val="0"/>
        <w:autoSpaceDN w:val="0"/>
        <w:adjustRightInd w:val="0"/>
        <w:jc w:val="center"/>
        <w:rPr>
          <w:rFonts w:ascii="Times New Roman" w:hAnsi="Times New Roman"/>
          <w:b/>
          <w:bCs/>
          <w:color w:val="000000"/>
          <w:sz w:val="32"/>
          <w:szCs w:val="32"/>
        </w:rPr>
      </w:pPr>
      <w:r w:rsidRPr="00ED08AE">
        <w:rPr>
          <w:rFonts w:ascii="Times New Roman" w:hAnsi="Times New Roman"/>
          <w:b/>
          <w:bCs/>
          <w:color w:val="000000"/>
          <w:sz w:val="32"/>
          <w:szCs w:val="32"/>
        </w:rPr>
        <w:t xml:space="preserve">PROVISION DE EQUIPOS  PARA ESTACION TRANSFORMADORA LOS NOGALES 132-33-13,2 KV  </w:t>
      </w:r>
    </w:p>
    <w:p w:rsidR="0099541C" w:rsidRPr="00161C13" w:rsidRDefault="0099541C" w:rsidP="0099541C">
      <w:pPr>
        <w:jc w:val="center"/>
        <w:rPr>
          <w:rFonts w:ascii="Times New Roman" w:hAnsi="Times New Roman"/>
          <w:b/>
          <w:sz w:val="32"/>
          <w:szCs w:val="32"/>
        </w:rPr>
      </w:pPr>
    </w:p>
    <w:p w:rsidR="004B0843" w:rsidRPr="00161C13" w:rsidRDefault="004B0843" w:rsidP="004B0843">
      <w:pPr>
        <w:jc w:val="center"/>
        <w:rPr>
          <w:rFonts w:ascii="Times New Roman" w:hAnsi="Times New Roman"/>
          <w:b/>
          <w:sz w:val="32"/>
          <w:szCs w:val="32"/>
        </w:rPr>
      </w:pPr>
    </w:p>
    <w:p w:rsidR="004B0843" w:rsidRPr="00161C13" w:rsidRDefault="004B0843" w:rsidP="004B0843">
      <w:pPr>
        <w:jc w:val="center"/>
        <w:rPr>
          <w:rFonts w:ascii="Times New Roman" w:hAnsi="Times New Roman"/>
          <w:b/>
          <w:sz w:val="32"/>
          <w:szCs w:val="32"/>
          <w:u w:val="single"/>
        </w:rPr>
      </w:pPr>
    </w:p>
    <w:p w:rsidR="004B0843" w:rsidRPr="00161C13" w:rsidRDefault="004B0843" w:rsidP="004B0843">
      <w:pPr>
        <w:jc w:val="center"/>
        <w:rPr>
          <w:rFonts w:ascii="Times New Roman" w:hAnsi="Times New Roman"/>
          <w:b/>
          <w:sz w:val="32"/>
          <w:szCs w:val="32"/>
          <w:u w:val="single"/>
        </w:rPr>
      </w:pPr>
      <w:r w:rsidRPr="00161C13">
        <w:rPr>
          <w:rFonts w:ascii="Times New Roman" w:hAnsi="Times New Roman"/>
          <w:b/>
          <w:sz w:val="32"/>
          <w:szCs w:val="32"/>
          <w:u w:val="single"/>
        </w:rPr>
        <w:t xml:space="preserve">CIRCULAR Nº </w:t>
      </w:r>
      <w:r w:rsidR="00ED08AE" w:rsidRPr="00161C13">
        <w:rPr>
          <w:rFonts w:ascii="Times New Roman" w:hAnsi="Times New Roman"/>
          <w:b/>
          <w:sz w:val="32"/>
          <w:szCs w:val="32"/>
          <w:u w:val="single"/>
        </w:rPr>
        <w:t>1</w:t>
      </w:r>
    </w:p>
    <w:p w:rsidR="00F93CD6" w:rsidRPr="00161C13" w:rsidRDefault="00F93CD6" w:rsidP="008060B8">
      <w:pPr>
        <w:rPr>
          <w:rFonts w:ascii="Times New Roman" w:hAnsi="Times New Roman"/>
          <w:b/>
          <w:sz w:val="24"/>
          <w:szCs w:val="24"/>
          <w:u w:val="single"/>
        </w:rPr>
      </w:pPr>
    </w:p>
    <w:p w:rsidR="00C953CC" w:rsidRPr="00C953CC" w:rsidRDefault="00C953CC" w:rsidP="00C953CC">
      <w:pPr>
        <w:spacing w:after="200" w:line="276" w:lineRule="auto"/>
        <w:rPr>
          <w:rFonts w:ascii="Times New Roman" w:eastAsia="Calibri" w:hAnsi="Times New Roman"/>
          <w:sz w:val="24"/>
          <w:szCs w:val="24"/>
          <w:lang w:val="es-AR" w:eastAsia="en-US"/>
        </w:rPr>
      </w:pPr>
      <w:r w:rsidRPr="00161C13">
        <w:rPr>
          <w:rFonts w:ascii="Times New Roman" w:eastAsia="Calibri" w:hAnsi="Times New Roman"/>
          <w:sz w:val="24"/>
          <w:szCs w:val="24"/>
          <w:lang w:val="es-AR" w:eastAsia="en-US"/>
        </w:rPr>
        <w:t>Consulta:</w:t>
      </w:r>
      <w:r w:rsidR="00B06630">
        <w:rPr>
          <w:rFonts w:ascii="Times New Roman" w:eastAsia="Calibri" w:hAnsi="Times New Roman"/>
          <w:sz w:val="24"/>
          <w:szCs w:val="24"/>
          <w:lang w:val="es-AR" w:eastAsia="en-US"/>
        </w:rPr>
        <w:t xml:space="preserve"> </w:t>
      </w:r>
      <w:r w:rsidRPr="00C953CC">
        <w:rPr>
          <w:rFonts w:ascii="Times New Roman" w:eastAsia="Calibri" w:hAnsi="Times New Roman"/>
          <w:sz w:val="24"/>
          <w:szCs w:val="24"/>
          <w:lang w:val="es-AR" w:eastAsia="en-US"/>
        </w:rPr>
        <w:t xml:space="preserve">Confirmar si se limita la responsabilidad del adjudicatario a un 100% del valor resultante de la orden de compra y la responsabilidad del Adjudicatario por lucro cesante y cualquier clase de daño indirecto o consecuencial, tal como se menciona en la cláusula 12 del Anexo V (Condiciones Generales). </w:t>
      </w:r>
    </w:p>
    <w:p w:rsidR="00C953CC" w:rsidRPr="00C953CC" w:rsidRDefault="00C953CC" w:rsidP="00C953CC">
      <w:pPr>
        <w:spacing w:after="200" w:line="276" w:lineRule="auto"/>
        <w:rPr>
          <w:rFonts w:ascii="Times New Roman" w:hAnsi="Times New Roman"/>
          <w:b/>
          <w:i/>
          <w:sz w:val="24"/>
          <w:szCs w:val="24"/>
        </w:rPr>
      </w:pPr>
      <w:r w:rsidRPr="00C953CC">
        <w:rPr>
          <w:rFonts w:ascii="Times New Roman" w:hAnsi="Times New Roman"/>
          <w:b/>
          <w:i/>
          <w:sz w:val="24"/>
          <w:szCs w:val="24"/>
          <w:u w:val="single"/>
        </w:rPr>
        <w:t>Respuesta</w:t>
      </w:r>
      <w:r w:rsidRPr="00C953CC">
        <w:rPr>
          <w:rFonts w:ascii="Times New Roman" w:hAnsi="Times New Roman"/>
          <w:b/>
          <w:i/>
          <w:sz w:val="24"/>
          <w:szCs w:val="24"/>
        </w:rPr>
        <w:t>: Confirmamos lo expresado en la cláusula 12 del Anexo V</w:t>
      </w:r>
      <w:r w:rsidR="00FE15E9" w:rsidRPr="00161C13">
        <w:rPr>
          <w:rFonts w:ascii="Times New Roman" w:hAnsi="Times New Roman"/>
          <w:b/>
          <w:i/>
          <w:sz w:val="24"/>
          <w:szCs w:val="24"/>
        </w:rPr>
        <w:t xml:space="preserve"> que se transcribe:</w:t>
      </w:r>
      <w:r w:rsidRPr="00C953CC">
        <w:rPr>
          <w:rFonts w:ascii="Times New Roman" w:hAnsi="Times New Roman"/>
          <w:b/>
          <w:i/>
          <w:sz w:val="24"/>
          <w:szCs w:val="24"/>
        </w:rPr>
        <w:t xml:space="preserve"> </w:t>
      </w:r>
    </w:p>
    <w:p w:rsidR="00C953CC" w:rsidRPr="00C953CC" w:rsidRDefault="00C953CC" w:rsidP="003C0C73">
      <w:pPr>
        <w:spacing w:after="200" w:line="276" w:lineRule="auto"/>
        <w:jc w:val="both"/>
        <w:rPr>
          <w:rFonts w:ascii="Times New Roman" w:hAnsi="Times New Roman"/>
          <w:b/>
          <w:i/>
          <w:sz w:val="24"/>
          <w:szCs w:val="24"/>
        </w:rPr>
      </w:pPr>
      <w:r w:rsidRPr="00C953CC">
        <w:rPr>
          <w:rFonts w:ascii="Times New Roman" w:hAnsi="Times New Roman"/>
          <w:b/>
          <w:i/>
          <w:sz w:val="24"/>
          <w:szCs w:val="24"/>
        </w:rPr>
        <w:t xml:space="preserve">Se limita la responsabilidad del Adjudicatario por los daños ocasionados a “LA EMPRESA” por incumplimientos, acciones u omisiones imputables al mismo, sus dependientes o contratistas, hasta un capital máximo equivalente al cien por cien (100%) del valor resultante de la presente orden de compra. “LA EMPRESA” podrá ante esta situación y en forma unilateral, rescindir la presente orden de compra y ejecutar, en caso de corresponder, las multas y garantías otorgadas, sin que ello genere para “LA EMPRESA” sanción alguna en concepto de rescisión unilateral. </w:t>
      </w:r>
    </w:p>
    <w:p w:rsidR="00C953CC" w:rsidRPr="00C953CC" w:rsidRDefault="00C953CC" w:rsidP="003C0C73">
      <w:pPr>
        <w:jc w:val="both"/>
        <w:rPr>
          <w:rFonts w:ascii="Times New Roman" w:hAnsi="Times New Roman"/>
          <w:b/>
          <w:i/>
          <w:sz w:val="24"/>
          <w:szCs w:val="24"/>
        </w:rPr>
      </w:pPr>
      <w:r w:rsidRPr="00C953CC">
        <w:rPr>
          <w:rFonts w:ascii="Times New Roman" w:hAnsi="Times New Roman"/>
          <w:b/>
          <w:i/>
          <w:sz w:val="24"/>
          <w:szCs w:val="24"/>
        </w:rPr>
        <w:t>Se excluye la responsabilidad del Adjudicatario por lucro cesante y cualquier clase de daño indirecto o consecuencial.</w:t>
      </w:r>
    </w:p>
    <w:p w:rsidR="00C953CC" w:rsidRPr="00C953CC" w:rsidRDefault="00C953CC" w:rsidP="003C0C73">
      <w:pPr>
        <w:ind w:left="1134" w:hanging="1134"/>
        <w:jc w:val="both"/>
        <w:rPr>
          <w:rFonts w:ascii="Times New Roman" w:hAnsi="Times New Roman"/>
          <w:b/>
          <w:i/>
          <w:sz w:val="24"/>
          <w:szCs w:val="24"/>
        </w:rPr>
      </w:pPr>
    </w:p>
    <w:p w:rsidR="00C953CC" w:rsidRPr="00C953CC" w:rsidRDefault="00C953CC" w:rsidP="003C0C73">
      <w:pPr>
        <w:jc w:val="both"/>
        <w:rPr>
          <w:rFonts w:ascii="Times New Roman" w:hAnsi="Times New Roman"/>
          <w:b/>
          <w:i/>
          <w:sz w:val="24"/>
          <w:szCs w:val="24"/>
        </w:rPr>
      </w:pPr>
      <w:r w:rsidRPr="00C953CC">
        <w:rPr>
          <w:rFonts w:ascii="Times New Roman" w:hAnsi="Times New Roman"/>
          <w:b/>
          <w:i/>
          <w:sz w:val="24"/>
          <w:szCs w:val="24"/>
        </w:rPr>
        <w:t xml:space="preserve">Se deja expresa constancia que las limitaciones de responsabilidad arriba expuestas no rigen para el caso de dolo o culpa grave del Adjudicatario o sus dependientes o contratistas. Asimismo, el Adjudicatario garantiza a “LA EMPRESA.” y la mantendrá indemne contra cualquier reclamo judicial o extrajudicial, demanda y gastos que pudieran ser iniciados por el personal propio, como así también de cualquier subcontratista vinculados directa o indirectamente en la prestación de los servicios y/o prestaciones objeto de la presente orden de compra, salvo que mediare responsabilidad de “LA EMPRESA.”. </w:t>
      </w:r>
    </w:p>
    <w:p w:rsidR="00C953CC" w:rsidRPr="00C953CC" w:rsidRDefault="00C953CC" w:rsidP="00C953CC">
      <w:pPr>
        <w:spacing w:after="200" w:line="276" w:lineRule="auto"/>
        <w:rPr>
          <w:rFonts w:ascii="Times New Roman" w:eastAsia="Calibri" w:hAnsi="Times New Roman"/>
          <w:sz w:val="24"/>
          <w:szCs w:val="24"/>
          <w:lang w:val="es-AR" w:eastAsia="en-US"/>
        </w:rPr>
      </w:pPr>
      <w:r w:rsidRPr="00C953CC">
        <w:rPr>
          <w:rFonts w:ascii="Times New Roman" w:eastAsia="Calibri" w:hAnsi="Times New Roman"/>
          <w:b/>
          <w:sz w:val="24"/>
          <w:szCs w:val="24"/>
          <w:lang w:val="es-AR" w:eastAsia="en-US"/>
        </w:rPr>
        <w:t xml:space="preserve"> </w:t>
      </w:r>
      <w:r w:rsidRPr="00C953CC">
        <w:rPr>
          <w:rFonts w:ascii="Times New Roman" w:eastAsia="Calibri" w:hAnsi="Times New Roman"/>
          <w:b/>
          <w:sz w:val="24"/>
          <w:szCs w:val="24"/>
          <w:lang w:val="es-AR" w:eastAsia="en-US"/>
        </w:rPr>
        <w:br/>
      </w:r>
      <w:r w:rsidRPr="00C953CC">
        <w:rPr>
          <w:rFonts w:ascii="Times New Roman" w:eastAsia="Calibri" w:hAnsi="Times New Roman"/>
          <w:sz w:val="24"/>
          <w:szCs w:val="24"/>
          <w:lang w:val="es-AR" w:eastAsia="en-US"/>
        </w:rPr>
        <w:br/>
      </w:r>
      <w:r w:rsidR="00354EB5" w:rsidRPr="00161C13">
        <w:rPr>
          <w:rFonts w:ascii="Times New Roman" w:eastAsia="Calibri" w:hAnsi="Times New Roman"/>
          <w:sz w:val="24"/>
          <w:szCs w:val="24"/>
          <w:lang w:val="es-AR" w:eastAsia="en-US"/>
        </w:rPr>
        <w:t>Consulta</w:t>
      </w:r>
      <w:r w:rsidR="00B06630">
        <w:rPr>
          <w:rFonts w:ascii="Times New Roman" w:eastAsia="Calibri" w:hAnsi="Times New Roman"/>
          <w:sz w:val="24"/>
          <w:szCs w:val="24"/>
          <w:lang w:val="es-AR" w:eastAsia="en-US"/>
        </w:rPr>
        <w:t xml:space="preserve">: </w:t>
      </w:r>
      <w:r w:rsidRPr="00C953CC">
        <w:rPr>
          <w:rFonts w:ascii="Times New Roman" w:eastAsia="Calibri" w:hAnsi="Times New Roman"/>
          <w:sz w:val="24"/>
          <w:szCs w:val="24"/>
          <w:lang w:val="es-AR" w:eastAsia="en-US"/>
        </w:rPr>
        <w:t xml:space="preserve">Confirmar si se prevé que la póliza de fondo de reparo será del 5%, tal como se menciona </w:t>
      </w:r>
      <w:r w:rsidRPr="00C953CC">
        <w:rPr>
          <w:rFonts w:ascii="Times New Roman" w:eastAsia="Calibri" w:hAnsi="Times New Roman"/>
          <w:i/>
          <w:sz w:val="24"/>
          <w:szCs w:val="24"/>
          <w:lang w:val="es-AR" w:eastAsia="en-US"/>
        </w:rPr>
        <w:t>en la cláusula 19.1.1.4 del Anexo V (Condiciones Generales).</w:t>
      </w:r>
    </w:p>
    <w:p w:rsidR="00C953CC" w:rsidRPr="00C953CC" w:rsidRDefault="00C953CC" w:rsidP="00C953CC">
      <w:pPr>
        <w:spacing w:after="200" w:line="276" w:lineRule="auto"/>
        <w:rPr>
          <w:rFonts w:ascii="Times New Roman" w:eastAsia="Calibri" w:hAnsi="Times New Roman"/>
          <w:b/>
          <w:i/>
          <w:sz w:val="24"/>
          <w:szCs w:val="24"/>
          <w:lang w:val="es-AR" w:eastAsia="en-US"/>
        </w:rPr>
      </w:pPr>
      <w:r w:rsidRPr="00C953CC">
        <w:rPr>
          <w:rFonts w:ascii="Times New Roman" w:eastAsia="Calibri" w:hAnsi="Times New Roman"/>
          <w:b/>
          <w:sz w:val="24"/>
          <w:szCs w:val="24"/>
          <w:lang w:val="es-AR" w:eastAsia="en-US"/>
        </w:rPr>
        <w:t>Respuesta:</w:t>
      </w:r>
      <w:r w:rsidRPr="00C953CC">
        <w:rPr>
          <w:rFonts w:ascii="Times New Roman" w:eastAsia="Calibri" w:hAnsi="Times New Roman"/>
          <w:b/>
          <w:i/>
          <w:sz w:val="24"/>
          <w:szCs w:val="24"/>
          <w:lang w:val="es-AR" w:eastAsia="en-US"/>
        </w:rPr>
        <w:t xml:space="preserve"> Sobre este punto vale lo indicado en 3.2 Anexo II Condiciones particulares</w:t>
      </w:r>
      <w:r w:rsidR="00354EB5" w:rsidRPr="00161C13">
        <w:rPr>
          <w:rFonts w:ascii="Times New Roman" w:eastAsia="Calibri" w:hAnsi="Times New Roman"/>
          <w:b/>
          <w:i/>
          <w:sz w:val="24"/>
          <w:szCs w:val="24"/>
          <w:lang w:val="es-AR" w:eastAsia="en-US"/>
        </w:rPr>
        <w:t xml:space="preserve"> </w:t>
      </w:r>
      <w:r w:rsidR="008F604B" w:rsidRPr="00161C13">
        <w:rPr>
          <w:rFonts w:ascii="Times New Roman" w:eastAsia="Calibri" w:hAnsi="Times New Roman"/>
          <w:b/>
          <w:i/>
          <w:sz w:val="24"/>
          <w:szCs w:val="24"/>
          <w:lang w:val="es-AR" w:eastAsia="en-US"/>
        </w:rPr>
        <w:t>que se transcribe</w:t>
      </w:r>
    </w:p>
    <w:p w:rsidR="00C953CC" w:rsidRPr="00C953CC" w:rsidRDefault="00C953CC" w:rsidP="00C953CC">
      <w:pPr>
        <w:autoSpaceDE w:val="0"/>
        <w:autoSpaceDN w:val="0"/>
        <w:adjustRightInd w:val="0"/>
        <w:jc w:val="both"/>
        <w:rPr>
          <w:rFonts w:ascii="Times New Roman" w:hAnsi="Times New Roman"/>
          <w:b/>
          <w:bCs/>
          <w:i/>
          <w:sz w:val="24"/>
          <w:szCs w:val="24"/>
        </w:rPr>
      </w:pPr>
      <w:r w:rsidRPr="00C953CC">
        <w:rPr>
          <w:rFonts w:ascii="Times New Roman" w:hAnsi="Times New Roman"/>
          <w:b/>
          <w:bCs/>
          <w:i/>
          <w:sz w:val="24"/>
          <w:szCs w:val="24"/>
        </w:rPr>
        <w:lastRenderedPageBreak/>
        <w:t>3.2 Fondo de Reparo.</w:t>
      </w:r>
    </w:p>
    <w:p w:rsidR="00C953CC" w:rsidRPr="00C953CC" w:rsidRDefault="00C953CC" w:rsidP="00C953CC">
      <w:pPr>
        <w:autoSpaceDE w:val="0"/>
        <w:autoSpaceDN w:val="0"/>
        <w:adjustRightInd w:val="0"/>
        <w:jc w:val="both"/>
        <w:rPr>
          <w:rFonts w:ascii="Times New Roman" w:hAnsi="Times New Roman"/>
          <w:b/>
          <w:i/>
          <w:sz w:val="24"/>
          <w:szCs w:val="24"/>
        </w:rPr>
      </w:pPr>
    </w:p>
    <w:p w:rsidR="00C953CC" w:rsidRPr="00C953CC" w:rsidRDefault="00C953CC" w:rsidP="00C953CC">
      <w:pPr>
        <w:autoSpaceDE w:val="0"/>
        <w:autoSpaceDN w:val="0"/>
        <w:adjustRightInd w:val="0"/>
        <w:jc w:val="both"/>
        <w:rPr>
          <w:rFonts w:ascii="Times New Roman" w:hAnsi="Times New Roman"/>
          <w:b/>
          <w:i/>
          <w:sz w:val="24"/>
          <w:szCs w:val="24"/>
        </w:rPr>
      </w:pPr>
      <w:r w:rsidRPr="00C953CC">
        <w:rPr>
          <w:rFonts w:ascii="Times New Roman" w:hAnsi="Times New Roman"/>
          <w:b/>
          <w:i/>
          <w:sz w:val="24"/>
          <w:szCs w:val="24"/>
        </w:rPr>
        <w:t xml:space="preserve">Una vez que el adjudicatario haya cumplimentado la orden de compra se le otorgara la Recepción provisoria y en dicha oportunidad presentará la garantía por Fondo de  Reparo por el DIEZ POR CIENTO </w:t>
      </w:r>
      <w:proofErr w:type="gramStart"/>
      <w:r w:rsidRPr="00C953CC">
        <w:rPr>
          <w:rFonts w:ascii="Times New Roman" w:hAnsi="Times New Roman"/>
          <w:b/>
          <w:i/>
          <w:sz w:val="24"/>
          <w:szCs w:val="24"/>
        </w:rPr>
        <w:t>( 10</w:t>
      </w:r>
      <w:proofErr w:type="gramEnd"/>
      <w:r w:rsidRPr="00C953CC">
        <w:rPr>
          <w:rFonts w:ascii="Times New Roman" w:hAnsi="Times New Roman"/>
          <w:b/>
          <w:i/>
          <w:sz w:val="24"/>
          <w:szCs w:val="24"/>
        </w:rPr>
        <w:t>% ) del valor de la Orden de compra que consigne el reconocimiento expreso de los términos de LA LICITACIÓN PUBLICA N°002/2016, emitida por alguna de las Compañías Aseguradoras a satisfacción del FOTAE, y cuyo único beneficiario será el FOTAE. Esta garantía, tendrá vigencia hasta la Recepción Definitiva, en la que de no mediar inconvenientes será devuelta.</w:t>
      </w:r>
    </w:p>
    <w:p w:rsidR="00C953CC" w:rsidRPr="00C953CC" w:rsidRDefault="00C953CC" w:rsidP="00C953CC">
      <w:pPr>
        <w:autoSpaceDE w:val="0"/>
        <w:autoSpaceDN w:val="0"/>
        <w:adjustRightInd w:val="0"/>
        <w:jc w:val="both"/>
        <w:rPr>
          <w:rFonts w:ascii="Times New Roman" w:hAnsi="Times New Roman"/>
          <w:b/>
          <w:i/>
          <w:sz w:val="24"/>
          <w:szCs w:val="24"/>
        </w:rPr>
      </w:pPr>
      <w:r w:rsidRPr="00C953CC">
        <w:rPr>
          <w:rFonts w:ascii="Times New Roman" w:hAnsi="Times New Roman"/>
          <w:b/>
          <w:i/>
          <w:sz w:val="24"/>
          <w:szCs w:val="24"/>
        </w:rPr>
        <w:t>Para los ADJUDICATARIOS del exterior, esta garantía deberá ser emitida por una compañía de seguros o banco que posea sede en Argentina, no aceptándose garantías que deban ser ejecutadas en otros países.</w:t>
      </w:r>
    </w:p>
    <w:p w:rsidR="00C953CC" w:rsidRPr="00C953CC" w:rsidRDefault="00C953CC" w:rsidP="00C953CC">
      <w:pPr>
        <w:spacing w:after="200" w:line="276" w:lineRule="auto"/>
        <w:rPr>
          <w:rFonts w:ascii="Times New Roman" w:eastAsia="Calibri" w:hAnsi="Times New Roman"/>
          <w:sz w:val="24"/>
          <w:szCs w:val="24"/>
          <w:lang w:val="es-AR" w:eastAsia="en-US"/>
        </w:rPr>
      </w:pPr>
      <w:r w:rsidRPr="00C953CC">
        <w:rPr>
          <w:rFonts w:ascii="Times New Roman" w:eastAsia="Calibri" w:hAnsi="Times New Roman"/>
          <w:b/>
          <w:sz w:val="24"/>
          <w:szCs w:val="24"/>
          <w:lang w:val="es-AR" w:eastAsia="en-US"/>
        </w:rPr>
        <w:br/>
      </w:r>
      <w:r w:rsidR="00FE15E9" w:rsidRPr="00161C13">
        <w:rPr>
          <w:rFonts w:ascii="Times New Roman" w:eastAsia="Calibri" w:hAnsi="Times New Roman"/>
          <w:sz w:val="24"/>
          <w:szCs w:val="24"/>
          <w:lang w:val="es-AR" w:eastAsia="en-US"/>
        </w:rPr>
        <w:t>Consulta:</w:t>
      </w:r>
      <w:r w:rsidR="00B06630">
        <w:rPr>
          <w:rFonts w:ascii="Times New Roman" w:eastAsia="Calibri" w:hAnsi="Times New Roman"/>
          <w:sz w:val="24"/>
          <w:szCs w:val="24"/>
          <w:lang w:val="es-AR" w:eastAsia="en-US"/>
        </w:rPr>
        <w:t xml:space="preserve"> </w:t>
      </w:r>
      <w:r w:rsidRPr="00C953CC">
        <w:rPr>
          <w:rFonts w:ascii="Times New Roman" w:eastAsia="Calibri" w:hAnsi="Times New Roman"/>
          <w:sz w:val="24"/>
          <w:szCs w:val="24"/>
          <w:lang w:val="es-AR" w:eastAsia="en-US"/>
        </w:rPr>
        <w:t>Podrán definir si la multa (penalidad) aplica al ítem en mora o al total de la provisión</w:t>
      </w:r>
      <w:proofErr w:type="gramStart"/>
      <w:r w:rsidRPr="00C953CC">
        <w:rPr>
          <w:rFonts w:ascii="Times New Roman" w:eastAsia="Calibri" w:hAnsi="Times New Roman"/>
          <w:sz w:val="24"/>
          <w:szCs w:val="24"/>
          <w:lang w:val="es-AR" w:eastAsia="en-US"/>
        </w:rPr>
        <w:t>?</w:t>
      </w:r>
      <w:proofErr w:type="gramEnd"/>
      <w:r w:rsidRPr="00C953CC">
        <w:rPr>
          <w:rFonts w:ascii="Times New Roman" w:eastAsia="Calibri" w:hAnsi="Times New Roman"/>
          <w:sz w:val="24"/>
          <w:szCs w:val="24"/>
          <w:lang w:val="es-AR" w:eastAsia="en-US"/>
        </w:rPr>
        <w:t xml:space="preserve"> (Cláusula 10 del Anexo V (Condiciones Generales). </w:t>
      </w:r>
    </w:p>
    <w:p w:rsidR="00C953CC" w:rsidRPr="00C953CC" w:rsidRDefault="00C953CC" w:rsidP="00C953CC">
      <w:pPr>
        <w:spacing w:after="200" w:line="276" w:lineRule="auto"/>
        <w:rPr>
          <w:rFonts w:ascii="Times New Roman" w:eastAsia="Calibri" w:hAnsi="Times New Roman"/>
          <w:b/>
          <w:i/>
          <w:sz w:val="24"/>
          <w:szCs w:val="24"/>
          <w:lang w:val="es-AR" w:eastAsia="en-US"/>
        </w:rPr>
      </w:pPr>
      <w:r w:rsidRPr="00C953CC">
        <w:rPr>
          <w:rFonts w:ascii="Times New Roman" w:eastAsia="Calibri" w:hAnsi="Times New Roman"/>
          <w:b/>
          <w:i/>
          <w:sz w:val="24"/>
          <w:szCs w:val="24"/>
          <w:u w:val="single"/>
          <w:lang w:val="es-AR" w:eastAsia="en-US"/>
        </w:rPr>
        <w:t>Respuesta</w:t>
      </w:r>
      <w:r w:rsidRPr="00C953CC">
        <w:rPr>
          <w:rFonts w:ascii="Times New Roman" w:eastAsia="Calibri" w:hAnsi="Times New Roman"/>
          <w:b/>
          <w:i/>
          <w:sz w:val="24"/>
          <w:szCs w:val="24"/>
          <w:lang w:val="es-AR" w:eastAsia="en-US"/>
        </w:rPr>
        <w:t xml:space="preserve">: se ajustará a lo indicado en </w:t>
      </w:r>
      <w:r w:rsidR="00FE15E9" w:rsidRPr="00161C13">
        <w:rPr>
          <w:rFonts w:ascii="Times New Roman" w:eastAsia="Calibri" w:hAnsi="Times New Roman"/>
          <w:b/>
          <w:i/>
          <w:sz w:val="24"/>
          <w:szCs w:val="24"/>
          <w:lang w:val="es-AR" w:eastAsia="en-US"/>
        </w:rPr>
        <w:t xml:space="preserve">los </w:t>
      </w:r>
      <w:r w:rsidRPr="00C953CC">
        <w:rPr>
          <w:rFonts w:ascii="Times New Roman" w:eastAsia="Calibri" w:hAnsi="Times New Roman"/>
          <w:b/>
          <w:i/>
          <w:sz w:val="24"/>
          <w:szCs w:val="24"/>
          <w:lang w:val="es-AR" w:eastAsia="en-US"/>
        </w:rPr>
        <w:t>punto</w:t>
      </w:r>
      <w:r w:rsidR="00FE15E9" w:rsidRPr="00161C13">
        <w:rPr>
          <w:rFonts w:ascii="Times New Roman" w:eastAsia="Calibri" w:hAnsi="Times New Roman"/>
          <w:b/>
          <w:i/>
          <w:sz w:val="24"/>
          <w:szCs w:val="24"/>
          <w:lang w:val="es-AR" w:eastAsia="en-US"/>
        </w:rPr>
        <w:t>s</w:t>
      </w:r>
      <w:r w:rsidRPr="00C953CC">
        <w:rPr>
          <w:rFonts w:ascii="Times New Roman" w:eastAsia="Calibri" w:hAnsi="Times New Roman"/>
          <w:b/>
          <w:i/>
          <w:sz w:val="24"/>
          <w:szCs w:val="24"/>
          <w:lang w:val="es-AR" w:eastAsia="en-US"/>
        </w:rPr>
        <w:t xml:space="preserve"> </w:t>
      </w:r>
      <w:r w:rsidR="00FE15E9" w:rsidRPr="00161C13">
        <w:rPr>
          <w:rFonts w:ascii="Times New Roman" w:eastAsia="Calibri" w:hAnsi="Times New Roman"/>
          <w:b/>
          <w:i/>
          <w:sz w:val="24"/>
          <w:szCs w:val="24"/>
          <w:lang w:val="es-AR" w:eastAsia="en-US"/>
        </w:rPr>
        <w:t xml:space="preserve">10.1 y 10.2 </w:t>
      </w:r>
      <w:r w:rsidRPr="00C953CC">
        <w:rPr>
          <w:rFonts w:ascii="Times New Roman" w:eastAsia="Calibri" w:hAnsi="Times New Roman"/>
          <w:b/>
          <w:i/>
          <w:sz w:val="24"/>
          <w:szCs w:val="24"/>
          <w:lang w:val="es-AR" w:eastAsia="en-US"/>
        </w:rPr>
        <w:t>que se transcribe</w:t>
      </w:r>
      <w:r w:rsidR="00FE15E9" w:rsidRPr="00161C13">
        <w:rPr>
          <w:rFonts w:ascii="Times New Roman" w:eastAsia="Calibri" w:hAnsi="Times New Roman"/>
          <w:b/>
          <w:i/>
          <w:sz w:val="24"/>
          <w:szCs w:val="24"/>
          <w:lang w:val="es-AR" w:eastAsia="en-US"/>
        </w:rPr>
        <w:t>n</w:t>
      </w:r>
      <w:r w:rsidRPr="00C953CC">
        <w:rPr>
          <w:rFonts w:ascii="Times New Roman" w:eastAsia="Calibri" w:hAnsi="Times New Roman"/>
          <w:b/>
          <w:i/>
          <w:sz w:val="24"/>
          <w:szCs w:val="24"/>
          <w:lang w:val="es-AR" w:eastAsia="en-US"/>
        </w:rPr>
        <w:t>:</w:t>
      </w:r>
    </w:p>
    <w:p w:rsidR="00C953CC" w:rsidRPr="00C953CC" w:rsidRDefault="00C953CC" w:rsidP="00C953CC">
      <w:pPr>
        <w:spacing w:line="240" w:lineRule="exact"/>
        <w:ind w:left="1134" w:right="-284" w:hanging="1134"/>
        <w:jc w:val="both"/>
        <w:rPr>
          <w:rFonts w:ascii="Times New Roman" w:hAnsi="Times New Roman"/>
          <w:b/>
          <w:i/>
          <w:sz w:val="24"/>
          <w:szCs w:val="24"/>
        </w:rPr>
      </w:pPr>
      <w:r w:rsidRPr="00C953CC">
        <w:rPr>
          <w:rFonts w:ascii="Times New Roman" w:hAnsi="Times New Roman"/>
          <w:b/>
          <w:i/>
          <w:sz w:val="24"/>
          <w:szCs w:val="24"/>
        </w:rPr>
        <w:t>PENALIDADES</w:t>
      </w:r>
    </w:p>
    <w:p w:rsidR="00C953CC" w:rsidRPr="00C953CC" w:rsidRDefault="00C953CC" w:rsidP="00C953CC">
      <w:pPr>
        <w:spacing w:line="240" w:lineRule="exact"/>
        <w:ind w:left="1134" w:right="-284" w:hanging="1134"/>
        <w:jc w:val="both"/>
        <w:rPr>
          <w:rFonts w:ascii="Times New Roman" w:hAnsi="Times New Roman"/>
          <w:b/>
          <w:i/>
          <w:sz w:val="24"/>
          <w:szCs w:val="24"/>
        </w:rPr>
      </w:pPr>
    </w:p>
    <w:p w:rsidR="00C953CC" w:rsidRPr="00C953CC" w:rsidRDefault="00C953CC" w:rsidP="00C953CC">
      <w:pPr>
        <w:spacing w:line="240" w:lineRule="exact"/>
        <w:ind w:left="1134" w:right="-284" w:hanging="1134"/>
        <w:jc w:val="both"/>
        <w:rPr>
          <w:rFonts w:ascii="Times New Roman" w:hAnsi="Times New Roman"/>
          <w:b/>
          <w:i/>
          <w:sz w:val="24"/>
          <w:szCs w:val="24"/>
        </w:rPr>
      </w:pPr>
      <w:r w:rsidRPr="00C953CC">
        <w:rPr>
          <w:rFonts w:ascii="Times New Roman" w:hAnsi="Times New Roman"/>
          <w:b/>
          <w:i/>
          <w:sz w:val="24"/>
          <w:szCs w:val="24"/>
        </w:rPr>
        <w:t>10.1</w:t>
      </w:r>
      <w:r w:rsidRPr="00C953CC">
        <w:rPr>
          <w:rFonts w:ascii="Times New Roman" w:hAnsi="Times New Roman"/>
          <w:b/>
          <w:i/>
          <w:sz w:val="24"/>
          <w:szCs w:val="24"/>
        </w:rPr>
        <w:tab/>
        <w:t xml:space="preserve">Al Adjudicatario que incurra en mora en la fecha y/o plazo de entrega, se le aplicará una multa. Dicha multa será del uno por ciento (1%) acumulativo del importe total adjudicado o valor de lo satisfecho fuera de término, de acuerdo con lo indicado en la Orden de Compra, por cada siete días corridos o fracción mayor a tres días corridos y hasta un máximo del diez por ciento (10%) de dichos montos. El incumplimiento total o parcial de la Orden de Compra cuyo vencimiento hubiese sido prorrogado, será pasible de idéntica multa aplicable a partir de la nueva fecha y/o plazo de entrega.   </w:t>
      </w:r>
    </w:p>
    <w:p w:rsidR="00C953CC" w:rsidRPr="00C953CC" w:rsidRDefault="00C953CC" w:rsidP="00C953CC">
      <w:pPr>
        <w:spacing w:line="240" w:lineRule="exact"/>
        <w:ind w:left="1134" w:right="-284" w:hanging="1134"/>
        <w:jc w:val="both"/>
        <w:rPr>
          <w:rFonts w:ascii="Times New Roman" w:hAnsi="Times New Roman"/>
          <w:b/>
          <w:i/>
          <w:sz w:val="24"/>
          <w:szCs w:val="24"/>
        </w:rPr>
      </w:pPr>
    </w:p>
    <w:p w:rsidR="00C953CC" w:rsidRPr="00C953CC" w:rsidRDefault="00C953CC" w:rsidP="001F63C9">
      <w:pPr>
        <w:numPr>
          <w:ilvl w:val="1"/>
          <w:numId w:val="5"/>
        </w:numPr>
        <w:spacing w:after="200" w:line="240" w:lineRule="exact"/>
        <w:ind w:right="-284"/>
        <w:jc w:val="both"/>
        <w:rPr>
          <w:rFonts w:ascii="Times New Roman" w:hAnsi="Times New Roman"/>
          <w:b/>
          <w:i/>
          <w:sz w:val="24"/>
          <w:szCs w:val="24"/>
        </w:rPr>
      </w:pPr>
      <w:r w:rsidRPr="00C953CC">
        <w:rPr>
          <w:rFonts w:ascii="Times New Roman" w:hAnsi="Times New Roman"/>
          <w:b/>
          <w:i/>
          <w:sz w:val="24"/>
          <w:szCs w:val="24"/>
        </w:rPr>
        <w:t xml:space="preserve">El importe correspondiente a las penalidades será descontado directamente de las facturas que se presenten al cobro. Si no hubiera facturas pendientes de pago, las penalidades serán abonadas por el Adjudicatario, dentro de las 48 </w:t>
      </w:r>
      <w:proofErr w:type="spellStart"/>
      <w:r w:rsidRPr="00C953CC">
        <w:rPr>
          <w:rFonts w:ascii="Times New Roman" w:hAnsi="Times New Roman"/>
          <w:b/>
          <w:i/>
          <w:sz w:val="24"/>
          <w:szCs w:val="24"/>
        </w:rPr>
        <w:t>hs</w:t>
      </w:r>
      <w:proofErr w:type="spellEnd"/>
      <w:r w:rsidRPr="00C953CC">
        <w:rPr>
          <w:rFonts w:ascii="Times New Roman" w:hAnsi="Times New Roman"/>
          <w:b/>
          <w:i/>
          <w:sz w:val="24"/>
          <w:szCs w:val="24"/>
        </w:rPr>
        <w:t>. de ser intimado fehacientemente por LA EMPRESA.</w:t>
      </w:r>
    </w:p>
    <w:p w:rsidR="00C953CC" w:rsidRPr="00B06630" w:rsidRDefault="00C953CC" w:rsidP="00944D54">
      <w:pPr>
        <w:autoSpaceDE w:val="0"/>
        <w:autoSpaceDN w:val="0"/>
        <w:adjustRightInd w:val="0"/>
        <w:spacing w:after="200" w:line="276" w:lineRule="auto"/>
        <w:rPr>
          <w:rFonts w:ascii="Times New Roman" w:eastAsia="Calibri" w:hAnsi="Times New Roman"/>
          <w:sz w:val="24"/>
          <w:szCs w:val="24"/>
          <w:lang w:val="es-AR" w:eastAsia="en-US"/>
        </w:rPr>
      </w:pPr>
      <w:r w:rsidRPr="00C953CC">
        <w:rPr>
          <w:rFonts w:ascii="Times New Roman" w:eastAsia="Calibri" w:hAnsi="Times New Roman"/>
          <w:sz w:val="24"/>
          <w:szCs w:val="24"/>
          <w:lang w:val="es-AR" w:eastAsia="en-US"/>
        </w:rPr>
        <w:br/>
      </w:r>
      <w:r w:rsidR="00944D54" w:rsidRPr="00161C13">
        <w:rPr>
          <w:rFonts w:ascii="Times New Roman" w:eastAsia="Calibri" w:hAnsi="Times New Roman"/>
          <w:sz w:val="24"/>
          <w:szCs w:val="24"/>
          <w:lang w:val="es-AR" w:eastAsia="en-US"/>
        </w:rPr>
        <w:t>Consulta:</w:t>
      </w:r>
      <w:r w:rsidR="00B06630">
        <w:rPr>
          <w:rFonts w:ascii="Times New Roman" w:eastAsia="Calibri" w:hAnsi="Times New Roman"/>
          <w:sz w:val="24"/>
          <w:szCs w:val="24"/>
          <w:lang w:val="es-AR" w:eastAsia="en-US"/>
        </w:rPr>
        <w:t xml:space="preserve"> </w:t>
      </w:r>
      <w:r w:rsidRPr="00C953CC">
        <w:rPr>
          <w:rFonts w:ascii="Times New Roman" w:eastAsia="Calibri" w:hAnsi="Times New Roman"/>
          <w:sz w:val="24"/>
          <w:szCs w:val="24"/>
          <w:lang w:val="es-AR" w:eastAsia="en-US"/>
        </w:rPr>
        <w:t>En la cláusula 11 del Anexo III (Condiciones Particulares) se detalla el sistema de multas y sanciones, no es claro el alcance de la penalidad durante el periodo de garantía. ¿Podrá excluirse del alcance</w:t>
      </w:r>
      <w:r w:rsidR="00944D54" w:rsidRPr="00161C13">
        <w:rPr>
          <w:rFonts w:ascii="Times New Roman" w:eastAsia="Calibri" w:hAnsi="Times New Roman"/>
          <w:sz w:val="24"/>
          <w:szCs w:val="24"/>
          <w:lang w:val="es-AR" w:eastAsia="en-US"/>
        </w:rPr>
        <w:t xml:space="preserve"> </w:t>
      </w:r>
      <w:r w:rsidRPr="00C953CC">
        <w:rPr>
          <w:rFonts w:ascii="Times New Roman" w:eastAsia="Calibri" w:hAnsi="Times New Roman"/>
          <w:sz w:val="24"/>
          <w:szCs w:val="24"/>
          <w:lang w:val="es-AR" w:eastAsia="en-US"/>
        </w:rPr>
        <w:t xml:space="preserve">de la provisión? </w:t>
      </w:r>
      <w:r w:rsidRPr="00C953CC">
        <w:rPr>
          <w:rFonts w:ascii="Times New Roman" w:eastAsia="Calibri" w:hAnsi="Times New Roman"/>
          <w:sz w:val="24"/>
          <w:szCs w:val="24"/>
          <w:lang w:val="es-AR" w:eastAsia="en-US"/>
        </w:rPr>
        <w:br/>
      </w:r>
    </w:p>
    <w:p w:rsidR="00944D54" w:rsidRPr="00C953CC" w:rsidRDefault="00944D54" w:rsidP="00944D54">
      <w:pPr>
        <w:autoSpaceDE w:val="0"/>
        <w:autoSpaceDN w:val="0"/>
        <w:adjustRightInd w:val="0"/>
        <w:spacing w:after="200" w:line="276" w:lineRule="auto"/>
        <w:rPr>
          <w:rFonts w:ascii="Times New Roman" w:hAnsi="Times New Roman"/>
          <w:b/>
          <w:bCs/>
          <w:i/>
          <w:sz w:val="24"/>
          <w:szCs w:val="24"/>
        </w:rPr>
      </w:pPr>
      <w:r w:rsidRPr="00782A2A">
        <w:rPr>
          <w:rFonts w:ascii="Times New Roman" w:hAnsi="Times New Roman"/>
          <w:b/>
          <w:bCs/>
          <w:i/>
          <w:sz w:val="24"/>
          <w:szCs w:val="24"/>
          <w:u w:val="single"/>
        </w:rPr>
        <w:t>Respuesta:</w:t>
      </w:r>
      <w:r w:rsidRPr="00161C13">
        <w:rPr>
          <w:rFonts w:ascii="Times New Roman" w:hAnsi="Times New Roman"/>
          <w:b/>
          <w:bCs/>
          <w:i/>
          <w:sz w:val="24"/>
          <w:szCs w:val="24"/>
        </w:rPr>
        <w:t xml:space="preserve"> No podrá excluirse; se transcribe el punto 11 del Anexo</w:t>
      </w:r>
      <w:r w:rsidR="00CB288A" w:rsidRPr="00161C13">
        <w:rPr>
          <w:rFonts w:ascii="Times New Roman" w:hAnsi="Times New Roman"/>
          <w:b/>
          <w:bCs/>
          <w:i/>
          <w:sz w:val="24"/>
          <w:szCs w:val="24"/>
        </w:rPr>
        <w:t xml:space="preserve"> III Condiciones Particulares</w:t>
      </w:r>
    </w:p>
    <w:p w:rsidR="00C953CC" w:rsidRPr="00C953CC" w:rsidRDefault="00C953CC" w:rsidP="00C953CC">
      <w:pPr>
        <w:autoSpaceDE w:val="0"/>
        <w:autoSpaceDN w:val="0"/>
        <w:adjustRightInd w:val="0"/>
        <w:spacing w:after="200" w:line="276" w:lineRule="auto"/>
        <w:jc w:val="both"/>
        <w:rPr>
          <w:rFonts w:ascii="Times New Roman" w:hAnsi="Times New Roman"/>
          <w:b/>
          <w:bCs/>
          <w:i/>
          <w:sz w:val="24"/>
          <w:szCs w:val="24"/>
        </w:rPr>
      </w:pPr>
      <w:r w:rsidRPr="00C953CC">
        <w:rPr>
          <w:rFonts w:ascii="Times New Roman" w:hAnsi="Times New Roman"/>
          <w:b/>
          <w:bCs/>
          <w:i/>
          <w:sz w:val="24"/>
          <w:szCs w:val="24"/>
        </w:rPr>
        <w:t>11- MULTA POR MORA.</w:t>
      </w:r>
    </w:p>
    <w:p w:rsidR="00C953CC" w:rsidRPr="00C953CC" w:rsidRDefault="00C953CC" w:rsidP="00C953CC">
      <w:pPr>
        <w:autoSpaceDE w:val="0"/>
        <w:autoSpaceDN w:val="0"/>
        <w:adjustRightInd w:val="0"/>
        <w:jc w:val="both"/>
        <w:rPr>
          <w:rFonts w:ascii="Times New Roman" w:hAnsi="Times New Roman"/>
          <w:b/>
          <w:bCs/>
          <w:i/>
          <w:sz w:val="24"/>
          <w:szCs w:val="24"/>
        </w:rPr>
      </w:pPr>
    </w:p>
    <w:p w:rsidR="00C953CC" w:rsidRPr="00C953CC" w:rsidRDefault="00C953CC" w:rsidP="00C953CC">
      <w:pPr>
        <w:autoSpaceDE w:val="0"/>
        <w:autoSpaceDN w:val="0"/>
        <w:adjustRightInd w:val="0"/>
        <w:jc w:val="both"/>
        <w:rPr>
          <w:rFonts w:ascii="Times New Roman" w:hAnsi="Times New Roman"/>
          <w:b/>
          <w:bCs/>
          <w:i/>
          <w:sz w:val="24"/>
          <w:szCs w:val="24"/>
        </w:rPr>
      </w:pPr>
      <w:r w:rsidRPr="00C953CC">
        <w:rPr>
          <w:rFonts w:ascii="Times New Roman" w:hAnsi="Times New Roman"/>
          <w:b/>
          <w:bCs/>
          <w:i/>
          <w:sz w:val="24"/>
          <w:szCs w:val="24"/>
        </w:rPr>
        <w:t>11.2 Por incumplimiento de los plazos durante el período de garantía.</w:t>
      </w:r>
    </w:p>
    <w:p w:rsidR="00C953CC" w:rsidRPr="00C953CC" w:rsidRDefault="00C953CC" w:rsidP="00C953CC">
      <w:pPr>
        <w:autoSpaceDE w:val="0"/>
        <w:autoSpaceDN w:val="0"/>
        <w:adjustRightInd w:val="0"/>
        <w:jc w:val="both"/>
        <w:rPr>
          <w:rFonts w:ascii="Times New Roman" w:hAnsi="Times New Roman"/>
          <w:i/>
          <w:sz w:val="24"/>
          <w:szCs w:val="24"/>
        </w:rPr>
      </w:pPr>
    </w:p>
    <w:p w:rsidR="00C953CC" w:rsidRPr="00C953CC" w:rsidRDefault="00C953CC" w:rsidP="00C953CC">
      <w:pPr>
        <w:autoSpaceDE w:val="0"/>
        <w:autoSpaceDN w:val="0"/>
        <w:adjustRightInd w:val="0"/>
        <w:jc w:val="both"/>
        <w:rPr>
          <w:rFonts w:ascii="Times New Roman" w:hAnsi="Times New Roman"/>
          <w:b/>
          <w:i/>
          <w:sz w:val="24"/>
          <w:szCs w:val="24"/>
        </w:rPr>
      </w:pPr>
      <w:r w:rsidRPr="00C953CC">
        <w:rPr>
          <w:rFonts w:ascii="Times New Roman" w:hAnsi="Times New Roman"/>
          <w:b/>
          <w:i/>
          <w:sz w:val="24"/>
          <w:szCs w:val="24"/>
        </w:rPr>
        <w:t>Si el ADJUDICATARIO no diera cumplimiento a los plazos que se establezcan para la reparación, fabricación, etc. durante el período de garantía, se hará pasible de una multa del uno por ciento (0,1%) por cada día de mora.</w:t>
      </w:r>
    </w:p>
    <w:p w:rsidR="00C953CC" w:rsidRPr="00C953CC" w:rsidRDefault="00C953CC" w:rsidP="00C953CC">
      <w:pPr>
        <w:autoSpaceDE w:val="0"/>
        <w:autoSpaceDN w:val="0"/>
        <w:adjustRightInd w:val="0"/>
        <w:jc w:val="both"/>
        <w:rPr>
          <w:rFonts w:ascii="Times New Roman" w:hAnsi="Times New Roman"/>
          <w:b/>
          <w:i/>
          <w:sz w:val="24"/>
          <w:szCs w:val="24"/>
        </w:rPr>
      </w:pPr>
    </w:p>
    <w:p w:rsidR="00C953CC" w:rsidRPr="00C953CC" w:rsidRDefault="00C953CC" w:rsidP="00C953CC">
      <w:pPr>
        <w:autoSpaceDE w:val="0"/>
        <w:autoSpaceDN w:val="0"/>
        <w:adjustRightInd w:val="0"/>
        <w:jc w:val="both"/>
        <w:rPr>
          <w:rFonts w:ascii="Times New Roman" w:hAnsi="Times New Roman"/>
          <w:b/>
          <w:i/>
          <w:sz w:val="24"/>
          <w:szCs w:val="24"/>
        </w:rPr>
      </w:pPr>
      <w:r w:rsidRPr="00C953CC">
        <w:rPr>
          <w:rFonts w:ascii="Times New Roman" w:hAnsi="Times New Roman"/>
          <w:b/>
          <w:i/>
          <w:sz w:val="24"/>
          <w:szCs w:val="24"/>
        </w:rPr>
        <w:lastRenderedPageBreak/>
        <w:t>En todos los casos la sumatoria de las multas aplicadas no podrá superar el DIEZ  POR CIENTO (10%) del monto básico adjudicado, con sus modificaciones, si existieren.</w:t>
      </w:r>
    </w:p>
    <w:p w:rsidR="00C953CC" w:rsidRPr="00C953CC" w:rsidRDefault="00C953CC" w:rsidP="00C953CC">
      <w:pPr>
        <w:autoSpaceDE w:val="0"/>
        <w:autoSpaceDN w:val="0"/>
        <w:adjustRightInd w:val="0"/>
        <w:jc w:val="both"/>
        <w:rPr>
          <w:rFonts w:ascii="Times New Roman" w:hAnsi="Times New Roman"/>
          <w:b/>
          <w:bCs/>
          <w:i/>
          <w:sz w:val="24"/>
          <w:szCs w:val="24"/>
        </w:rPr>
      </w:pPr>
    </w:p>
    <w:p w:rsidR="00C953CC" w:rsidRPr="00C953CC" w:rsidRDefault="00CD4621" w:rsidP="00C953CC">
      <w:pPr>
        <w:spacing w:after="200" w:line="276" w:lineRule="auto"/>
        <w:rPr>
          <w:rFonts w:ascii="Times New Roman" w:eastAsia="Calibri" w:hAnsi="Times New Roman"/>
          <w:sz w:val="24"/>
          <w:szCs w:val="24"/>
          <w:lang w:val="es-AR" w:eastAsia="en-US"/>
        </w:rPr>
      </w:pPr>
      <w:r w:rsidRPr="00161C13">
        <w:rPr>
          <w:rFonts w:ascii="Times New Roman" w:eastAsia="Calibri" w:hAnsi="Times New Roman"/>
          <w:sz w:val="24"/>
          <w:szCs w:val="24"/>
          <w:lang w:val="es-AR" w:eastAsia="en-US"/>
        </w:rPr>
        <w:t xml:space="preserve">Consulta: </w:t>
      </w:r>
      <w:r w:rsidR="00C953CC" w:rsidRPr="00C953CC">
        <w:rPr>
          <w:rFonts w:ascii="Times New Roman" w:eastAsia="Calibri" w:hAnsi="Times New Roman"/>
          <w:sz w:val="24"/>
          <w:szCs w:val="24"/>
          <w:lang w:val="es-AR" w:eastAsia="en-US"/>
        </w:rPr>
        <w:t xml:space="preserve">En la documentación recibida no se dispone del esquema de </w:t>
      </w:r>
      <w:proofErr w:type="spellStart"/>
      <w:r w:rsidR="00C953CC" w:rsidRPr="00C953CC">
        <w:rPr>
          <w:rFonts w:ascii="Times New Roman" w:eastAsia="Calibri" w:hAnsi="Times New Roman"/>
          <w:sz w:val="24"/>
          <w:szCs w:val="24"/>
          <w:lang w:val="es-AR" w:eastAsia="en-US"/>
        </w:rPr>
        <w:t>layout</w:t>
      </w:r>
      <w:proofErr w:type="spellEnd"/>
      <w:r w:rsidR="00C953CC" w:rsidRPr="00C953CC">
        <w:rPr>
          <w:rFonts w:ascii="Times New Roman" w:eastAsia="Calibri" w:hAnsi="Times New Roman"/>
          <w:sz w:val="24"/>
          <w:szCs w:val="24"/>
          <w:lang w:val="es-AR" w:eastAsia="en-US"/>
        </w:rPr>
        <w:t xml:space="preserve"> detallado en planta y corte para poder cotizar la extensión del ducto superior de escape de gases al exterior.</w:t>
      </w:r>
    </w:p>
    <w:p w:rsidR="00C953CC" w:rsidRPr="00C953CC" w:rsidRDefault="00CB288A" w:rsidP="00C953CC">
      <w:pPr>
        <w:widowControl w:val="0"/>
        <w:shd w:val="clear" w:color="auto" w:fill="FFFFFF"/>
        <w:autoSpaceDE w:val="0"/>
        <w:autoSpaceDN w:val="0"/>
        <w:adjustRightInd w:val="0"/>
        <w:spacing w:after="200" w:line="254" w:lineRule="exact"/>
        <w:rPr>
          <w:rFonts w:ascii="Times New Roman" w:eastAsia="Calibri" w:hAnsi="Times New Roman"/>
          <w:b/>
          <w:i/>
          <w:sz w:val="24"/>
          <w:szCs w:val="24"/>
          <w:lang w:val="es-AR" w:eastAsia="en-US"/>
        </w:rPr>
      </w:pPr>
      <w:r w:rsidRPr="00782A2A">
        <w:rPr>
          <w:rFonts w:ascii="Times New Roman" w:eastAsia="Calibri" w:hAnsi="Times New Roman"/>
          <w:b/>
          <w:i/>
          <w:sz w:val="24"/>
          <w:szCs w:val="24"/>
          <w:u w:val="single"/>
          <w:lang w:val="es-AR" w:eastAsia="en-US"/>
        </w:rPr>
        <w:t>Respuesta</w:t>
      </w:r>
      <w:r w:rsidRPr="00782A2A">
        <w:rPr>
          <w:rFonts w:ascii="Times New Roman" w:eastAsia="Calibri" w:hAnsi="Times New Roman"/>
          <w:b/>
          <w:i/>
          <w:sz w:val="24"/>
          <w:szCs w:val="24"/>
          <w:lang w:val="es-AR" w:eastAsia="en-US"/>
        </w:rPr>
        <w:t xml:space="preserve">: </w:t>
      </w:r>
      <w:r w:rsidR="00C953CC" w:rsidRPr="00C953CC">
        <w:rPr>
          <w:rFonts w:ascii="Times New Roman" w:eastAsia="Calibri" w:hAnsi="Times New Roman"/>
          <w:b/>
          <w:i/>
          <w:sz w:val="24"/>
          <w:szCs w:val="24"/>
          <w:lang w:val="es-AR" w:eastAsia="en-US"/>
        </w:rPr>
        <w:t>Vale lo indicado para los  Ítem 1 y 2 en las condiciones técnicas particulares</w:t>
      </w:r>
      <w:r w:rsidRPr="00782A2A">
        <w:rPr>
          <w:rFonts w:ascii="Times New Roman" w:eastAsia="Calibri" w:hAnsi="Times New Roman"/>
          <w:b/>
          <w:i/>
          <w:sz w:val="24"/>
          <w:szCs w:val="24"/>
          <w:lang w:val="es-AR" w:eastAsia="en-US"/>
        </w:rPr>
        <w:t xml:space="preserve"> que se transcribe</w:t>
      </w:r>
      <w:r w:rsidR="00137B44" w:rsidRPr="00782A2A">
        <w:rPr>
          <w:rFonts w:ascii="Times New Roman" w:eastAsia="Calibri" w:hAnsi="Times New Roman"/>
          <w:b/>
          <w:i/>
          <w:sz w:val="24"/>
          <w:szCs w:val="24"/>
          <w:lang w:val="es-AR" w:eastAsia="en-US"/>
        </w:rPr>
        <w:t>n</w:t>
      </w:r>
      <w:r w:rsidR="00C953CC" w:rsidRPr="00C953CC">
        <w:rPr>
          <w:rFonts w:ascii="Times New Roman" w:eastAsia="Calibri" w:hAnsi="Times New Roman"/>
          <w:b/>
          <w:i/>
          <w:sz w:val="24"/>
          <w:szCs w:val="24"/>
          <w:lang w:val="es-AR" w:eastAsia="en-US"/>
        </w:rPr>
        <w:t>:</w:t>
      </w:r>
    </w:p>
    <w:p w:rsidR="00C953CC" w:rsidRPr="00C953CC" w:rsidRDefault="00C953CC" w:rsidP="00C953CC">
      <w:pPr>
        <w:widowControl w:val="0"/>
        <w:shd w:val="clear" w:color="auto" w:fill="FFFFFF"/>
        <w:autoSpaceDE w:val="0"/>
        <w:autoSpaceDN w:val="0"/>
        <w:adjustRightInd w:val="0"/>
        <w:spacing w:after="200" w:line="254" w:lineRule="exact"/>
        <w:rPr>
          <w:rFonts w:ascii="Times New Roman" w:hAnsi="Times New Roman"/>
          <w:b/>
          <w:bCs/>
          <w:i/>
          <w:sz w:val="24"/>
          <w:szCs w:val="24"/>
        </w:rPr>
      </w:pPr>
      <w:r w:rsidRPr="00C953CC">
        <w:rPr>
          <w:rFonts w:ascii="Times New Roman" w:eastAsia="Calibri" w:hAnsi="Times New Roman"/>
          <w:sz w:val="24"/>
          <w:szCs w:val="24"/>
          <w:lang w:val="es-AR" w:eastAsia="en-US"/>
        </w:rPr>
        <w:t xml:space="preserve"> </w:t>
      </w:r>
      <w:r w:rsidRPr="00C953CC">
        <w:rPr>
          <w:rFonts w:ascii="Times New Roman" w:eastAsia="Calibri" w:hAnsi="Times New Roman"/>
          <w:sz w:val="24"/>
          <w:szCs w:val="24"/>
          <w:lang w:val="es-AR" w:eastAsia="en-US"/>
        </w:rPr>
        <w:br/>
      </w:r>
      <w:r w:rsidRPr="00C953CC">
        <w:rPr>
          <w:rFonts w:ascii="Times New Roman" w:hAnsi="Times New Roman"/>
          <w:b/>
          <w:bCs/>
          <w:i/>
          <w:sz w:val="24"/>
          <w:szCs w:val="24"/>
        </w:rPr>
        <w:t xml:space="preserve">Uno (1) conducto de escape de gases para montar sobre el conjunto de celdas con brida de acoplamiento a conducto entre celda y muro sala de celdas; uno (1) dispositivo pasa- muro interior-exterior para muro de 0,30 m de espesor con bridas a ambos lados y uno (1) dispositivo de expulsión al exterior con </w:t>
      </w:r>
      <w:proofErr w:type="spellStart"/>
      <w:r w:rsidRPr="00C953CC">
        <w:rPr>
          <w:rFonts w:ascii="Times New Roman" w:hAnsi="Times New Roman"/>
          <w:b/>
          <w:bCs/>
          <w:i/>
          <w:sz w:val="24"/>
          <w:szCs w:val="24"/>
        </w:rPr>
        <w:t>flap</w:t>
      </w:r>
      <w:proofErr w:type="spellEnd"/>
      <w:r w:rsidRPr="00C953CC">
        <w:rPr>
          <w:rFonts w:ascii="Times New Roman" w:hAnsi="Times New Roman"/>
          <w:b/>
          <w:bCs/>
          <w:i/>
          <w:sz w:val="24"/>
          <w:szCs w:val="24"/>
        </w:rPr>
        <w:t xml:space="preserve"> con brida de acoplamiento. </w:t>
      </w:r>
    </w:p>
    <w:p w:rsidR="00C953CC" w:rsidRPr="00C953CC" w:rsidRDefault="00C953CC" w:rsidP="00C953CC">
      <w:pPr>
        <w:widowControl w:val="0"/>
        <w:shd w:val="clear" w:color="auto" w:fill="FFFFFF"/>
        <w:autoSpaceDE w:val="0"/>
        <w:autoSpaceDN w:val="0"/>
        <w:adjustRightInd w:val="0"/>
        <w:spacing w:line="254" w:lineRule="exact"/>
        <w:rPr>
          <w:rFonts w:ascii="Times New Roman" w:hAnsi="Times New Roman"/>
          <w:b/>
          <w:bCs/>
          <w:i/>
          <w:sz w:val="24"/>
          <w:szCs w:val="24"/>
        </w:rPr>
      </w:pPr>
      <w:r w:rsidRPr="00C953CC">
        <w:rPr>
          <w:rFonts w:ascii="Times New Roman" w:hAnsi="Times New Roman"/>
          <w:b/>
          <w:bCs/>
          <w:i/>
          <w:sz w:val="24"/>
          <w:szCs w:val="24"/>
        </w:rPr>
        <w:t>Nota1: Las bridas de acople se entregarán con todos los elementos de unión (tornillos, tuercas y arandelas) y las juntas que correspondan.</w:t>
      </w:r>
    </w:p>
    <w:p w:rsidR="00137B44" w:rsidRPr="00161C13" w:rsidRDefault="00C953CC" w:rsidP="00C953CC">
      <w:pPr>
        <w:widowControl w:val="0"/>
        <w:shd w:val="clear" w:color="auto" w:fill="FFFFFF"/>
        <w:autoSpaceDE w:val="0"/>
        <w:autoSpaceDN w:val="0"/>
        <w:adjustRightInd w:val="0"/>
        <w:spacing w:line="254" w:lineRule="exact"/>
        <w:rPr>
          <w:rFonts w:ascii="Times New Roman" w:hAnsi="Times New Roman"/>
          <w:b/>
          <w:bCs/>
          <w:sz w:val="24"/>
          <w:szCs w:val="24"/>
        </w:rPr>
      </w:pPr>
      <w:r w:rsidRPr="00C953CC">
        <w:rPr>
          <w:rFonts w:ascii="Times New Roman" w:hAnsi="Times New Roman"/>
          <w:b/>
          <w:bCs/>
          <w:i/>
          <w:sz w:val="24"/>
          <w:szCs w:val="24"/>
        </w:rPr>
        <w:t xml:space="preserve">Nota 2: El ducto de vinculación entre brida salida de celdas y brida interior de </w:t>
      </w:r>
      <w:proofErr w:type="spellStart"/>
      <w:r w:rsidRPr="00C953CC">
        <w:rPr>
          <w:rFonts w:ascii="Times New Roman" w:hAnsi="Times New Roman"/>
          <w:b/>
          <w:bCs/>
          <w:i/>
          <w:sz w:val="24"/>
          <w:szCs w:val="24"/>
        </w:rPr>
        <w:t>pasamuro</w:t>
      </w:r>
      <w:proofErr w:type="spellEnd"/>
      <w:r w:rsidRPr="00C953CC">
        <w:rPr>
          <w:rFonts w:ascii="Times New Roman" w:hAnsi="Times New Roman"/>
          <w:b/>
          <w:bCs/>
          <w:i/>
          <w:sz w:val="24"/>
          <w:szCs w:val="24"/>
        </w:rPr>
        <w:t xml:space="preserve"> será provisto por el contratista de la obra de montaje electromecánico de las celdas por lo que el proveedor de las celdas entregará las recomendaciones que sean necesarias para su construcción.</w:t>
      </w:r>
      <w:r w:rsidRPr="00C953CC">
        <w:rPr>
          <w:rFonts w:ascii="Times New Roman" w:hAnsi="Times New Roman"/>
          <w:b/>
          <w:bCs/>
          <w:sz w:val="24"/>
          <w:szCs w:val="24"/>
        </w:rPr>
        <w:t xml:space="preserve"> </w:t>
      </w:r>
    </w:p>
    <w:p w:rsidR="00137B44" w:rsidRPr="00161C13" w:rsidRDefault="00137B44" w:rsidP="00C953CC">
      <w:pPr>
        <w:widowControl w:val="0"/>
        <w:shd w:val="clear" w:color="auto" w:fill="FFFFFF"/>
        <w:autoSpaceDE w:val="0"/>
        <w:autoSpaceDN w:val="0"/>
        <w:adjustRightInd w:val="0"/>
        <w:spacing w:line="254" w:lineRule="exact"/>
        <w:rPr>
          <w:rFonts w:ascii="Times New Roman" w:hAnsi="Times New Roman"/>
          <w:b/>
          <w:bCs/>
          <w:sz w:val="24"/>
          <w:szCs w:val="24"/>
        </w:rPr>
      </w:pPr>
    </w:p>
    <w:p w:rsidR="00137B44" w:rsidRPr="00161C13" w:rsidRDefault="00137B44" w:rsidP="00C953CC">
      <w:pPr>
        <w:widowControl w:val="0"/>
        <w:shd w:val="clear" w:color="auto" w:fill="FFFFFF"/>
        <w:autoSpaceDE w:val="0"/>
        <w:autoSpaceDN w:val="0"/>
        <w:adjustRightInd w:val="0"/>
        <w:spacing w:line="254" w:lineRule="exact"/>
        <w:rPr>
          <w:rFonts w:ascii="Times New Roman" w:hAnsi="Times New Roman"/>
          <w:b/>
          <w:bCs/>
          <w:sz w:val="24"/>
          <w:szCs w:val="24"/>
        </w:rPr>
      </w:pPr>
      <w:r w:rsidRPr="00161C13">
        <w:rPr>
          <w:rFonts w:ascii="Times New Roman" w:hAnsi="Times New Roman"/>
          <w:b/>
          <w:bCs/>
          <w:sz w:val="24"/>
          <w:szCs w:val="24"/>
        </w:rPr>
        <w:t>Aclaración sobre Nota 2</w:t>
      </w:r>
    </w:p>
    <w:p w:rsidR="00137B44" w:rsidRPr="00161C13" w:rsidRDefault="00137B44" w:rsidP="00C953CC">
      <w:pPr>
        <w:widowControl w:val="0"/>
        <w:shd w:val="clear" w:color="auto" w:fill="FFFFFF"/>
        <w:autoSpaceDE w:val="0"/>
        <w:autoSpaceDN w:val="0"/>
        <w:adjustRightInd w:val="0"/>
        <w:spacing w:line="254" w:lineRule="exact"/>
        <w:rPr>
          <w:rFonts w:ascii="Times New Roman" w:hAnsi="Times New Roman"/>
          <w:b/>
          <w:bCs/>
          <w:sz w:val="24"/>
          <w:szCs w:val="24"/>
        </w:rPr>
      </w:pPr>
    </w:p>
    <w:p w:rsidR="00C953CC" w:rsidRPr="00C953CC" w:rsidRDefault="00137B44" w:rsidP="00C953CC">
      <w:pPr>
        <w:widowControl w:val="0"/>
        <w:shd w:val="clear" w:color="auto" w:fill="FFFFFF"/>
        <w:autoSpaceDE w:val="0"/>
        <w:autoSpaceDN w:val="0"/>
        <w:adjustRightInd w:val="0"/>
        <w:spacing w:line="254" w:lineRule="exact"/>
        <w:rPr>
          <w:rFonts w:ascii="Times New Roman" w:hAnsi="Times New Roman"/>
          <w:b/>
          <w:bCs/>
          <w:sz w:val="24"/>
          <w:szCs w:val="24"/>
        </w:rPr>
      </w:pPr>
      <w:r w:rsidRPr="00161C13">
        <w:rPr>
          <w:rFonts w:ascii="Times New Roman" w:hAnsi="Times New Roman"/>
          <w:b/>
          <w:bCs/>
          <w:sz w:val="24"/>
          <w:szCs w:val="24"/>
        </w:rPr>
        <w:t>Donde dice:</w:t>
      </w:r>
      <w:r w:rsidR="001E113B" w:rsidRPr="00161C13">
        <w:rPr>
          <w:rFonts w:ascii="Times New Roman" w:hAnsi="Times New Roman"/>
          <w:b/>
          <w:bCs/>
          <w:sz w:val="24"/>
          <w:szCs w:val="24"/>
        </w:rPr>
        <w:t xml:space="preserve"> </w:t>
      </w:r>
      <w:proofErr w:type="gramStart"/>
      <w:r w:rsidR="001E113B" w:rsidRPr="00161C13">
        <w:rPr>
          <w:rFonts w:ascii="Times New Roman" w:hAnsi="Times New Roman"/>
          <w:b/>
          <w:bCs/>
          <w:sz w:val="24"/>
          <w:szCs w:val="24"/>
        </w:rPr>
        <w:t>“</w:t>
      </w:r>
      <w:r w:rsidRPr="00161C13">
        <w:rPr>
          <w:rFonts w:ascii="Times New Roman" w:hAnsi="Times New Roman"/>
          <w:b/>
          <w:bCs/>
          <w:sz w:val="24"/>
          <w:szCs w:val="24"/>
        </w:rPr>
        <w:t xml:space="preserve"> brida</w:t>
      </w:r>
      <w:proofErr w:type="gramEnd"/>
      <w:r w:rsidRPr="00161C13">
        <w:rPr>
          <w:rFonts w:ascii="Times New Roman" w:hAnsi="Times New Roman"/>
          <w:b/>
          <w:bCs/>
          <w:sz w:val="24"/>
          <w:szCs w:val="24"/>
        </w:rPr>
        <w:t xml:space="preserve"> de salida de celdas</w:t>
      </w:r>
      <w:r w:rsidR="001E113B" w:rsidRPr="00161C13">
        <w:rPr>
          <w:rFonts w:ascii="Times New Roman" w:hAnsi="Times New Roman"/>
          <w:b/>
          <w:bCs/>
          <w:sz w:val="24"/>
          <w:szCs w:val="24"/>
        </w:rPr>
        <w:t>”</w:t>
      </w:r>
      <w:r w:rsidR="008309D1" w:rsidRPr="00161C13">
        <w:rPr>
          <w:rFonts w:ascii="Times New Roman" w:hAnsi="Times New Roman"/>
          <w:b/>
          <w:bCs/>
          <w:sz w:val="24"/>
          <w:szCs w:val="24"/>
        </w:rPr>
        <w:t xml:space="preserve"> debe decir “brida de salida conducto de escape de gases de celdas”</w:t>
      </w:r>
      <w:r w:rsidRPr="00161C13">
        <w:rPr>
          <w:rFonts w:ascii="Times New Roman" w:hAnsi="Times New Roman"/>
          <w:b/>
          <w:bCs/>
          <w:sz w:val="24"/>
          <w:szCs w:val="24"/>
        </w:rPr>
        <w:t xml:space="preserve">  </w:t>
      </w:r>
      <w:r w:rsidR="00C953CC" w:rsidRPr="00C953CC">
        <w:rPr>
          <w:rFonts w:ascii="Times New Roman" w:hAnsi="Times New Roman"/>
          <w:b/>
          <w:bCs/>
          <w:sz w:val="24"/>
          <w:szCs w:val="24"/>
        </w:rPr>
        <w:t xml:space="preserve"> </w:t>
      </w:r>
    </w:p>
    <w:p w:rsidR="00C953CC" w:rsidRPr="00C953CC" w:rsidRDefault="00C953CC" w:rsidP="00C60FD0">
      <w:pPr>
        <w:widowControl w:val="0"/>
        <w:shd w:val="clear" w:color="auto" w:fill="FFFFFF"/>
        <w:autoSpaceDE w:val="0"/>
        <w:autoSpaceDN w:val="0"/>
        <w:adjustRightInd w:val="0"/>
        <w:spacing w:line="254" w:lineRule="exact"/>
        <w:rPr>
          <w:rFonts w:ascii="Times New Roman" w:hAnsi="Times New Roman"/>
          <w:bCs/>
          <w:sz w:val="24"/>
          <w:szCs w:val="24"/>
        </w:rPr>
      </w:pPr>
      <w:r w:rsidRPr="00C953CC">
        <w:rPr>
          <w:rFonts w:ascii="Times New Roman" w:eastAsia="Calibri" w:hAnsi="Times New Roman"/>
          <w:sz w:val="24"/>
          <w:szCs w:val="24"/>
          <w:lang w:val="es-AR" w:eastAsia="en-US"/>
        </w:rPr>
        <w:br/>
      </w:r>
      <w:r w:rsidR="008309D1" w:rsidRPr="00161C13">
        <w:rPr>
          <w:rFonts w:ascii="Times New Roman" w:hAnsi="Times New Roman"/>
          <w:bCs/>
          <w:sz w:val="24"/>
          <w:szCs w:val="24"/>
        </w:rPr>
        <w:t>Consulta:</w:t>
      </w:r>
      <w:r w:rsidR="00C60FD0" w:rsidRPr="00161C13">
        <w:rPr>
          <w:rFonts w:ascii="Times New Roman" w:hAnsi="Times New Roman"/>
          <w:bCs/>
          <w:sz w:val="24"/>
          <w:szCs w:val="24"/>
        </w:rPr>
        <w:t xml:space="preserve"> </w:t>
      </w:r>
      <w:r w:rsidRPr="00C953CC">
        <w:rPr>
          <w:rFonts w:ascii="Times New Roman" w:hAnsi="Times New Roman"/>
          <w:bCs/>
          <w:sz w:val="24"/>
          <w:szCs w:val="24"/>
        </w:rPr>
        <w:t>Las relaciones de los transformadores pueden variar de acuerdo a nuestro standard.</w:t>
      </w:r>
    </w:p>
    <w:p w:rsidR="00C60FD0" w:rsidRPr="00161C13" w:rsidRDefault="00C60FD0" w:rsidP="00C953CC">
      <w:pPr>
        <w:rPr>
          <w:rFonts w:ascii="Times New Roman" w:eastAsia="Calibri" w:hAnsi="Times New Roman"/>
          <w:b/>
          <w:sz w:val="24"/>
          <w:szCs w:val="24"/>
          <w:lang w:val="es-AR" w:eastAsia="en-US"/>
        </w:rPr>
      </w:pPr>
    </w:p>
    <w:p w:rsidR="007E1097" w:rsidRDefault="008309D1" w:rsidP="00C953CC">
      <w:pPr>
        <w:rPr>
          <w:rFonts w:ascii="Times New Roman" w:eastAsia="Calibri" w:hAnsi="Times New Roman"/>
          <w:b/>
          <w:i/>
          <w:sz w:val="24"/>
          <w:szCs w:val="24"/>
          <w:u w:val="single"/>
          <w:lang w:val="es-AR" w:eastAsia="en-US"/>
        </w:rPr>
      </w:pPr>
      <w:r w:rsidRPr="00782A2A">
        <w:rPr>
          <w:rFonts w:ascii="Times New Roman" w:eastAsia="Calibri" w:hAnsi="Times New Roman"/>
          <w:b/>
          <w:i/>
          <w:sz w:val="24"/>
          <w:szCs w:val="24"/>
          <w:u w:val="single"/>
          <w:lang w:val="es-AR" w:eastAsia="en-US"/>
        </w:rPr>
        <w:t>Respuesta:</w:t>
      </w:r>
      <w:r w:rsidR="00B06630">
        <w:rPr>
          <w:rFonts w:ascii="Times New Roman" w:eastAsia="Calibri" w:hAnsi="Times New Roman"/>
          <w:b/>
          <w:i/>
          <w:sz w:val="24"/>
          <w:szCs w:val="24"/>
          <w:u w:val="single"/>
          <w:lang w:val="es-AR" w:eastAsia="en-US"/>
        </w:rPr>
        <w:t xml:space="preserve"> </w:t>
      </w:r>
    </w:p>
    <w:p w:rsidR="007E1097" w:rsidRDefault="007E1097" w:rsidP="00C953CC">
      <w:pPr>
        <w:rPr>
          <w:rFonts w:ascii="Times New Roman" w:eastAsia="Calibri" w:hAnsi="Times New Roman"/>
          <w:b/>
          <w:i/>
          <w:sz w:val="24"/>
          <w:szCs w:val="24"/>
          <w:u w:val="single"/>
          <w:lang w:val="es-AR" w:eastAsia="en-US"/>
        </w:rPr>
      </w:pPr>
    </w:p>
    <w:p w:rsidR="00C60FD0" w:rsidRPr="007E1097" w:rsidRDefault="003C0C73" w:rsidP="00C953CC">
      <w:pPr>
        <w:rPr>
          <w:rFonts w:ascii="Times New Roman" w:hAnsi="Times New Roman"/>
          <w:bCs/>
          <w:sz w:val="24"/>
          <w:szCs w:val="24"/>
        </w:rPr>
      </w:pPr>
      <w:r w:rsidRPr="00161C13">
        <w:rPr>
          <w:rFonts w:ascii="Times New Roman" w:eastAsia="Calibri" w:hAnsi="Times New Roman"/>
          <w:b/>
          <w:i/>
          <w:sz w:val="24"/>
          <w:szCs w:val="24"/>
          <w:lang w:val="es-AR" w:eastAsia="en-US"/>
        </w:rPr>
        <w:t>Las relaciones de los transformadores d</w:t>
      </w:r>
      <w:r w:rsidR="00C953CC" w:rsidRPr="00161C13">
        <w:rPr>
          <w:rFonts w:ascii="Times New Roman" w:eastAsia="Calibri" w:hAnsi="Times New Roman"/>
          <w:b/>
          <w:i/>
          <w:sz w:val="24"/>
          <w:szCs w:val="24"/>
          <w:lang w:val="es-AR" w:eastAsia="en-US"/>
        </w:rPr>
        <w:t xml:space="preserve">eben ajustarse a lo requerido  </w:t>
      </w:r>
      <w:r w:rsidR="00C953CC" w:rsidRPr="00161C13">
        <w:rPr>
          <w:rFonts w:ascii="Times New Roman" w:eastAsia="Calibri" w:hAnsi="Times New Roman"/>
          <w:b/>
          <w:i/>
          <w:sz w:val="24"/>
          <w:szCs w:val="24"/>
          <w:lang w:val="es-AR" w:eastAsia="en-US"/>
        </w:rPr>
        <w:br/>
      </w:r>
      <w:r w:rsidR="00C953CC" w:rsidRPr="00161C13">
        <w:rPr>
          <w:rFonts w:ascii="Times New Roman" w:eastAsia="Calibri" w:hAnsi="Times New Roman"/>
          <w:sz w:val="24"/>
          <w:szCs w:val="24"/>
          <w:lang w:val="es-AR" w:eastAsia="en-US"/>
        </w:rPr>
        <w:br/>
      </w:r>
      <w:r w:rsidR="00C60FD0" w:rsidRPr="00161C13">
        <w:rPr>
          <w:rFonts w:ascii="Times New Roman" w:hAnsi="Times New Roman"/>
          <w:bCs/>
          <w:sz w:val="24"/>
          <w:szCs w:val="24"/>
        </w:rPr>
        <w:t>Consulta:</w:t>
      </w:r>
      <w:r w:rsidR="00C953CC" w:rsidRPr="00161C13">
        <w:rPr>
          <w:rFonts w:ascii="Times New Roman" w:hAnsi="Times New Roman"/>
          <w:bCs/>
          <w:sz w:val="24"/>
          <w:szCs w:val="24"/>
        </w:rPr>
        <w:t xml:space="preserve"> Confirmar si es posible que el equipamiento de media tensión sea de color distinto al RAL 7012</w:t>
      </w:r>
      <w:r w:rsidR="00C953CC" w:rsidRPr="00161C13">
        <w:rPr>
          <w:rFonts w:ascii="Times New Roman" w:eastAsia="Calibri" w:hAnsi="Times New Roman"/>
          <w:sz w:val="24"/>
          <w:szCs w:val="24"/>
          <w:lang w:val="es-AR" w:eastAsia="en-US"/>
        </w:rPr>
        <w:t xml:space="preserve">. </w:t>
      </w:r>
    </w:p>
    <w:p w:rsidR="00C60FD0" w:rsidRPr="00161C13" w:rsidRDefault="00C60FD0" w:rsidP="00C953CC">
      <w:pPr>
        <w:rPr>
          <w:rFonts w:ascii="Times New Roman" w:eastAsia="Calibri" w:hAnsi="Times New Roman"/>
          <w:sz w:val="24"/>
          <w:szCs w:val="24"/>
          <w:lang w:val="es-AR" w:eastAsia="en-US"/>
        </w:rPr>
      </w:pPr>
    </w:p>
    <w:p w:rsidR="007E1097" w:rsidRDefault="00C60FD0" w:rsidP="00C953CC">
      <w:pPr>
        <w:rPr>
          <w:rFonts w:ascii="Times New Roman" w:eastAsia="Calibri" w:hAnsi="Times New Roman"/>
          <w:b/>
          <w:sz w:val="24"/>
          <w:szCs w:val="24"/>
          <w:lang w:val="es-AR" w:eastAsia="en-US"/>
        </w:rPr>
      </w:pPr>
      <w:r w:rsidRPr="00782A2A">
        <w:rPr>
          <w:rFonts w:ascii="Times New Roman" w:eastAsia="Calibri" w:hAnsi="Times New Roman"/>
          <w:b/>
          <w:i/>
          <w:sz w:val="24"/>
          <w:szCs w:val="24"/>
          <w:lang w:val="es-AR" w:eastAsia="en-US"/>
        </w:rPr>
        <w:t>R</w:t>
      </w:r>
      <w:r w:rsidR="008F604B" w:rsidRPr="00782A2A">
        <w:rPr>
          <w:rFonts w:ascii="Times New Roman" w:eastAsia="Calibri" w:hAnsi="Times New Roman"/>
          <w:b/>
          <w:i/>
          <w:sz w:val="24"/>
          <w:szCs w:val="24"/>
          <w:lang w:val="es-AR" w:eastAsia="en-US"/>
        </w:rPr>
        <w:t>e</w:t>
      </w:r>
      <w:r w:rsidRPr="00782A2A">
        <w:rPr>
          <w:rFonts w:ascii="Times New Roman" w:eastAsia="Calibri" w:hAnsi="Times New Roman"/>
          <w:b/>
          <w:i/>
          <w:sz w:val="24"/>
          <w:szCs w:val="24"/>
          <w:lang w:val="es-AR" w:eastAsia="en-US"/>
        </w:rPr>
        <w:t>spuesta</w:t>
      </w:r>
      <w:r w:rsidRPr="00161C13">
        <w:rPr>
          <w:rFonts w:ascii="Times New Roman" w:eastAsia="Calibri" w:hAnsi="Times New Roman"/>
          <w:b/>
          <w:sz w:val="24"/>
          <w:szCs w:val="24"/>
          <w:lang w:val="es-AR" w:eastAsia="en-US"/>
        </w:rPr>
        <w:t xml:space="preserve">: </w:t>
      </w:r>
    </w:p>
    <w:p w:rsidR="007E1097" w:rsidRDefault="007E1097" w:rsidP="00C953CC">
      <w:pPr>
        <w:rPr>
          <w:rFonts w:ascii="Times New Roman" w:eastAsia="Calibri" w:hAnsi="Times New Roman"/>
          <w:b/>
          <w:sz w:val="24"/>
          <w:szCs w:val="24"/>
          <w:lang w:val="es-AR" w:eastAsia="en-US"/>
        </w:rPr>
      </w:pPr>
    </w:p>
    <w:p w:rsidR="00C953CC" w:rsidRPr="007E1097" w:rsidRDefault="00C60FD0" w:rsidP="00C953CC">
      <w:pPr>
        <w:rPr>
          <w:rFonts w:ascii="Times New Roman" w:eastAsia="Calibri" w:hAnsi="Times New Roman"/>
          <w:b/>
          <w:sz w:val="24"/>
          <w:szCs w:val="24"/>
          <w:lang w:val="es-AR" w:eastAsia="en-US"/>
        </w:rPr>
      </w:pPr>
      <w:bookmarkStart w:id="0" w:name="_GoBack"/>
      <w:bookmarkEnd w:id="0"/>
      <w:r w:rsidRPr="00161C13">
        <w:rPr>
          <w:rFonts w:ascii="Times New Roman" w:eastAsia="Calibri" w:hAnsi="Times New Roman"/>
          <w:b/>
          <w:i/>
          <w:sz w:val="24"/>
          <w:szCs w:val="24"/>
          <w:lang w:val="es-AR" w:eastAsia="en-US"/>
        </w:rPr>
        <w:t xml:space="preserve">El color </w:t>
      </w:r>
      <w:r w:rsidR="00C953CC" w:rsidRPr="00161C13">
        <w:rPr>
          <w:rFonts w:ascii="Times New Roman" w:eastAsia="Calibri" w:hAnsi="Times New Roman"/>
          <w:b/>
          <w:i/>
          <w:sz w:val="24"/>
          <w:szCs w:val="24"/>
          <w:lang w:val="es-AR" w:eastAsia="en-US"/>
        </w:rPr>
        <w:t xml:space="preserve">Deberá ser RAL 7035 </w:t>
      </w:r>
      <w:r w:rsidR="00C953CC" w:rsidRPr="00161C13">
        <w:rPr>
          <w:rFonts w:ascii="Times New Roman" w:eastAsia="Calibri" w:hAnsi="Times New Roman"/>
          <w:b/>
          <w:i/>
          <w:sz w:val="24"/>
          <w:szCs w:val="24"/>
          <w:lang w:val="es-AR" w:eastAsia="en-US"/>
        </w:rPr>
        <w:br/>
      </w:r>
    </w:p>
    <w:sectPr w:rsidR="00C953CC" w:rsidRPr="007E1097" w:rsidSect="006B79AF">
      <w:headerReference w:type="default" r:id="rId9"/>
      <w:footerReference w:type="even" r:id="rId10"/>
      <w:footerReference w:type="default" r:id="rId11"/>
      <w:pgSz w:w="11901" w:h="16834"/>
      <w:pgMar w:top="1418" w:right="851" w:bottom="720" w:left="1298" w:header="1440" w:footer="144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3C9" w:rsidRDefault="001F63C9">
      <w:r>
        <w:separator/>
      </w:r>
    </w:p>
  </w:endnote>
  <w:endnote w:type="continuationSeparator" w:id="0">
    <w:p w:rsidR="001F63C9" w:rsidRDefault="001F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39" w:rsidRDefault="005E186B" w:rsidP="00BE313B">
    <w:pPr>
      <w:pStyle w:val="Piedepgina"/>
      <w:framePr w:wrap="around" w:vAnchor="text" w:hAnchor="margin" w:xAlign="right" w:y="1"/>
      <w:rPr>
        <w:rStyle w:val="Nmerodepgina"/>
      </w:rPr>
    </w:pPr>
    <w:r>
      <w:rPr>
        <w:rStyle w:val="Nmerodepgina"/>
      </w:rPr>
      <w:fldChar w:fldCharType="begin"/>
    </w:r>
    <w:r w:rsidR="00055239">
      <w:rPr>
        <w:rStyle w:val="Nmerodepgina"/>
      </w:rPr>
      <w:instrText xml:space="preserve">PAGE  </w:instrText>
    </w:r>
    <w:r>
      <w:rPr>
        <w:rStyle w:val="Nmerodepgina"/>
      </w:rPr>
      <w:fldChar w:fldCharType="end"/>
    </w:r>
  </w:p>
  <w:p w:rsidR="00055239" w:rsidRDefault="00055239" w:rsidP="00BE313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39" w:rsidRDefault="005E186B" w:rsidP="00BE313B">
    <w:pPr>
      <w:pStyle w:val="Piedepgina"/>
      <w:framePr w:wrap="around" w:vAnchor="text" w:hAnchor="margin" w:xAlign="right" w:y="1"/>
      <w:rPr>
        <w:rStyle w:val="Nmerodepgina"/>
      </w:rPr>
    </w:pPr>
    <w:r>
      <w:rPr>
        <w:rStyle w:val="Nmerodepgina"/>
      </w:rPr>
      <w:fldChar w:fldCharType="begin"/>
    </w:r>
    <w:r w:rsidR="00055239">
      <w:rPr>
        <w:rStyle w:val="Nmerodepgina"/>
      </w:rPr>
      <w:instrText xml:space="preserve">PAGE  </w:instrText>
    </w:r>
    <w:r>
      <w:rPr>
        <w:rStyle w:val="Nmerodepgina"/>
      </w:rPr>
      <w:fldChar w:fldCharType="separate"/>
    </w:r>
    <w:r w:rsidR="007E1097">
      <w:rPr>
        <w:rStyle w:val="Nmerodepgina"/>
        <w:noProof/>
      </w:rPr>
      <w:t>3</w:t>
    </w:r>
    <w:r>
      <w:rPr>
        <w:rStyle w:val="Nmerodepgina"/>
      </w:rPr>
      <w:fldChar w:fldCharType="end"/>
    </w:r>
  </w:p>
  <w:p w:rsidR="00055239" w:rsidRDefault="00055239" w:rsidP="00BE313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3C9" w:rsidRDefault="001F63C9">
      <w:r>
        <w:separator/>
      </w:r>
    </w:p>
  </w:footnote>
  <w:footnote w:type="continuationSeparator" w:id="0">
    <w:p w:rsidR="001F63C9" w:rsidRDefault="001F6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39" w:rsidRDefault="00055239">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3A50"/>
    <w:multiLevelType w:val="multilevel"/>
    <w:tmpl w:val="A998C72C"/>
    <w:lvl w:ilvl="0">
      <w:start w:val="5"/>
      <w:numFmt w:val="decimal"/>
      <w:lvlText w:val="%1."/>
      <w:lvlJc w:val="left"/>
      <w:pPr>
        <w:tabs>
          <w:tab w:val="num" w:pos="705"/>
        </w:tabs>
        <w:ind w:left="705" w:hanging="705"/>
      </w:pPr>
      <w:rPr>
        <w:rFonts w:hint="default"/>
      </w:rPr>
    </w:lvl>
    <w:lvl w:ilvl="1">
      <w:start w:val="15"/>
      <w:numFmt w:val="decimal"/>
      <w:lvlText w:val="5.%2."/>
      <w:lvlJc w:val="left"/>
      <w:pPr>
        <w:tabs>
          <w:tab w:val="num" w:pos="705"/>
        </w:tabs>
        <w:ind w:left="705" w:hanging="705"/>
      </w:pPr>
      <w:rPr>
        <w:rFonts w:hint="default"/>
      </w:rPr>
    </w:lvl>
    <w:lvl w:ilvl="2">
      <w:start w:val="2"/>
      <w:numFmt w:val="decimal"/>
      <w:pStyle w:val="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A64912"/>
    <w:multiLevelType w:val="singleLevel"/>
    <w:tmpl w:val="0DAE17E0"/>
    <w:lvl w:ilvl="0">
      <w:start w:val="1"/>
      <w:numFmt w:val="decimal"/>
      <w:pStyle w:val="1"/>
      <w:lvlText w:val="%1."/>
      <w:lvlJc w:val="left"/>
      <w:pPr>
        <w:tabs>
          <w:tab w:val="num" w:pos="360"/>
        </w:tabs>
        <w:ind w:left="360" w:hanging="360"/>
      </w:pPr>
    </w:lvl>
  </w:abstractNum>
  <w:abstractNum w:abstractNumId="2">
    <w:nsid w:val="18BC077A"/>
    <w:multiLevelType w:val="multilevel"/>
    <w:tmpl w:val="EA64B1D2"/>
    <w:lvl w:ilvl="0">
      <w:start w:val="10"/>
      <w:numFmt w:val="decimal"/>
      <w:lvlText w:val="%1"/>
      <w:lvlJc w:val="left"/>
      <w:pPr>
        <w:tabs>
          <w:tab w:val="num" w:pos="1140"/>
        </w:tabs>
        <w:ind w:left="1140" w:hanging="1140"/>
      </w:pPr>
      <w:rPr>
        <w:rFonts w:hint="default"/>
        <w:b/>
      </w:rPr>
    </w:lvl>
    <w:lvl w:ilvl="1">
      <w:start w:val="2"/>
      <w:numFmt w:val="decimal"/>
      <w:lvlText w:val="%1.%2"/>
      <w:lvlJc w:val="left"/>
      <w:pPr>
        <w:tabs>
          <w:tab w:val="num" w:pos="1140"/>
        </w:tabs>
        <w:ind w:left="1140" w:hanging="1140"/>
      </w:pPr>
      <w:rPr>
        <w:rFonts w:hint="default"/>
        <w:b/>
      </w:rPr>
    </w:lvl>
    <w:lvl w:ilvl="2">
      <w:start w:val="1"/>
      <w:numFmt w:val="decimal"/>
      <w:lvlText w:val="%1.%2.%3"/>
      <w:lvlJc w:val="left"/>
      <w:pPr>
        <w:tabs>
          <w:tab w:val="num" w:pos="1140"/>
        </w:tabs>
        <w:ind w:left="1140" w:hanging="1140"/>
      </w:pPr>
      <w:rPr>
        <w:rFonts w:hint="default"/>
        <w:b/>
      </w:rPr>
    </w:lvl>
    <w:lvl w:ilvl="3">
      <w:start w:val="1"/>
      <w:numFmt w:val="decimal"/>
      <w:lvlText w:val="%1.%2.%3.%4"/>
      <w:lvlJc w:val="left"/>
      <w:pPr>
        <w:tabs>
          <w:tab w:val="num" w:pos="1140"/>
        </w:tabs>
        <w:ind w:left="1140" w:hanging="1140"/>
      </w:pPr>
      <w:rPr>
        <w:rFonts w:hint="default"/>
        <w:b/>
      </w:rPr>
    </w:lvl>
    <w:lvl w:ilvl="4">
      <w:start w:val="1"/>
      <w:numFmt w:val="decimal"/>
      <w:lvlText w:val="%1.%2.%3.%4.%5"/>
      <w:lvlJc w:val="left"/>
      <w:pPr>
        <w:tabs>
          <w:tab w:val="num" w:pos="1140"/>
        </w:tabs>
        <w:ind w:left="1140" w:hanging="1140"/>
      </w:pPr>
      <w:rPr>
        <w:rFonts w:hint="default"/>
        <w:b/>
      </w:rPr>
    </w:lvl>
    <w:lvl w:ilvl="5">
      <w:start w:val="1"/>
      <w:numFmt w:val="decimal"/>
      <w:lvlText w:val="%1.%2.%3.%4.%5.%6"/>
      <w:lvlJc w:val="left"/>
      <w:pPr>
        <w:tabs>
          <w:tab w:val="num" w:pos="1140"/>
        </w:tabs>
        <w:ind w:left="1140" w:hanging="11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66004EE2"/>
    <w:multiLevelType w:val="multilevel"/>
    <w:tmpl w:val="08D2D99A"/>
    <w:lvl w:ilvl="0">
      <w:numFmt w:val="none"/>
      <w:lvlText w:val=""/>
      <w:lvlJc w:val="left"/>
      <w:pPr>
        <w:tabs>
          <w:tab w:val="num" w:pos="360"/>
        </w:tabs>
      </w:pPr>
    </w:lvl>
    <w:lvl w:ilvl="1">
      <w:start w:val="2"/>
      <w:numFmt w:val="none"/>
      <w:pStyle w:val="Textocomentario"/>
      <w:lvlText w:val="2.1.-"/>
      <w:lvlJc w:val="left"/>
      <w:pPr>
        <w:tabs>
          <w:tab w:val="num" w:pos="720"/>
        </w:tabs>
        <w:ind w:left="360" w:hanging="360"/>
      </w:pPr>
      <w:rPr>
        <w:b/>
        <w:i w:val="0"/>
      </w:rPr>
    </w:lvl>
    <w:lvl w:ilvl="2">
      <w:start w:val="1"/>
      <w:numFmt w:val="bullet"/>
      <w:lvlText w:val=""/>
      <w:lvlJc w:val="left"/>
      <w:pPr>
        <w:tabs>
          <w:tab w:val="num" w:pos="360"/>
        </w:tabs>
        <w:ind w:left="360" w:hanging="360"/>
      </w:pPr>
      <w:rPr>
        <w:rFonts w:ascii="Symbol" w:hAnsi="Symbol" w:hint="default"/>
      </w:rPr>
    </w:lvl>
    <w:lvl w:ilvl="3">
      <w:start w:val="5"/>
      <w:numFmt w:val="lowerLetter"/>
      <w:lvlText w:val="%1)"/>
      <w:lvlJc w:val="left"/>
      <w:pPr>
        <w:tabs>
          <w:tab w:val="num" w:pos="360"/>
        </w:tabs>
        <w:ind w:left="360" w:hanging="360"/>
      </w:pPr>
    </w:lvl>
    <w:lvl w:ilvl="4">
      <w:start w:val="2"/>
      <w:numFmt w:val="none"/>
      <w:lvlText w:val="2.-"/>
      <w:lvlJc w:val="left"/>
      <w:pPr>
        <w:tabs>
          <w:tab w:val="num" w:pos="360"/>
        </w:tabs>
        <w:ind w:left="360" w:hanging="360"/>
      </w:pPr>
      <w:rPr>
        <w:b/>
        <w:i w:val="0"/>
      </w:rPr>
    </w:lvl>
    <w:lvl w:ilvl="5">
      <w:start w:val="14"/>
      <w:numFmt w:val="decimal"/>
      <w:lvlText w:val="%1."/>
      <w:lvlJc w:val="left"/>
      <w:pPr>
        <w:tabs>
          <w:tab w:val="num" w:pos="705"/>
        </w:tabs>
        <w:ind w:left="705" w:hanging="705"/>
      </w:pPr>
      <w:rPr>
        <w:rFonts w:hint="default"/>
      </w:rPr>
    </w:lvl>
    <w:lvl w:ilvl="6">
      <w:start w:val="1"/>
      <w:numFmt w:val="decimal"/>
      <w:lvlText w:val="14.%2."/>
      <w:lvlJc w:val="left"/>
      <w:pPr>
        <w:tabs>
          <w:tab w:val="num" w:pos="705"/>
        </w:tabs>
        <w:ind w:left="705" w:hanging="705"/>
      </w:pPr>
      <w:rPr>
        <w:rFonts w:hint="default"/>
      </w:rPr>
    </w:lvl>
    <w:lvl w:ilvl="7">
      <w:start w:val="2"/>
      <w:numFmt w:val="decimal"/>
      <w:lvlText w:val="%1.%2.%3."/>
      <w:lvlJc w:val="left"/>
      <w:pPr>
        <w:tabs>
          <w:tab w:val="num" w:pos="720"/>
        </w:tabs>
        <w:ind w:left="720" w:hanging="720"/>
      </w:pPr>
      <w:rPr>
        <w:rFonts w:hint="default"/>
      </w:rPr>
    </w:lvl>
    <w:lvl w:ilvl="8">
      <w:start w:val="1"/>
      <w:numFmt w:val="decimal"/>
      <w:lvlText w:val="%1.%2.%3.%4."/>
      <w:lvlJc w:val="left"/>
      <w:pPr>
        <w:tabs>
          <w:tab w:val="num" w:pos="720"/>
        </w:tabs>
        <w:ind w:left="720" w:hanging="720"/>
      </w:pPr>
      <w:rPr>
        <w:rFonts w:hint="default"/>
      </w:rPr>
    </w:lvl>
  </w:abstractNum>
  <w:abstractNum w:abstractNumId="4">
    <w:nsid w:val="738A5223"/>
    <w:multiLevelType w:val="singleLevel"/>
    <w:tmpl w:val="6D9EA186"/>
    <w:lvl w:ilvl="0">
      <w:numFmt w:val="none"/>
      <w:pStyle w:val="TITULO1"/>
      <w:lvlText w:val=""/>
      <w:lvlJc w:val="left"/>
      <w:pPr>
        <w:tabs>
          <w:tab w:val="num" w:pos="360"/>
        </w:tabs>
      </w:pPr>
    </w:lvl>
  </w:abstractNum>
  <w:num w:numId="1">
    <w:abstractNumId w:val="3"/>
  </w:num>
  <w:num w:numId="2">
    <w:abstractNumId w:val="1"/>
  </w:num>
  <w:num w:numId="3">
    <w:abstractNumId w:val="0"/>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E313B"/>
    <w:rsid w:val="00014B16"/>
    <w:rsid w:val="00031D17"/>
    <w:rsid w:val="00040396"/>
    <w:rsid w:val="000425ED"/>
    <w:rsid w:val="00053339"/>
    <w:rsid w:val="0005464F"/>
    <w:rsid w:val="00055239"/>
    <w:rsid w:val="0006729F"/>
    <w:rsid w:val="00067EFF"/>
    <w:rsid w:val="000714A2"/>
    <w:rsid w:val="00077E5E"/>
    <w:rsid w:val="000816CE"/>
    <w:rsid w:val="00081CFF"/>
    <w:rsid w:val="00090AD3"/>
    <w:rsid w:val="00096F86"/>
    <w:rsid w:val="000A4483"/>
    <w:rsid w:val="000C66D1"/>
    <w:rsid w:val="000C7017"/>
    <w:rsid w:val="000E458E"/>
    <w:rsid w:val="000F1765"/>
    <w:rsid w:val="00102C31"/>
    <w:rsid w:val="0010430C"/>
    <w:rsid w:val="00107F82"/>
    <w:rsid w:val="00123790"/>
    <w:rsid w:val="00130144"/>
    <w:rsid w:val="00137B44"/>
    <w:rsid w:val="0014233F"/>
    <w:rsid w:val="001457F8"/>
    <w:rsid w:val="00151E03"/>
    <w:rsid w:val="00153FC8"/>
    <w:rsid w:val="001618D3"/>
    <w:rsid w:val="00161C13"/>
    <w:rsid w:val="001720B7"/>
    <w:rsid w:val="00182959"/>
    <w:rsid w:val="00191CB7"/>
    <w:rsid w:val="001940E9"/>
    <w:rsid w:val="00194846"/>
    <w:rsid w:val="00194EFC"/>
    <w:rsid w:val="0019754A"/>
    <w:rsid w:val="001B7751"/>
    <w:rsid w:val="001C779D"/>
    <w:rsid w:val="001D0D16"/>
    <w:rsid w:val="001D3862"/>
    <w:rsid w:val="001E113B"/>
    <w:rsid w:val="001E3CA7"/>
    <w:rsid w:val="001E424D"/>
    <w:rsid w:val="001E77D9"/>
    <w:rsid w:val="001F0DBB"/>
    <w:rsid w:val="001F3B7E"/>
    <w:rsid w:val="001F63C9"/>
    <w:rsid w:val="00205352"/>
    <w:rsid w:val="002055A6"/>
    <w:rsid w:val="00223CB0"/>
    <w:rsid w:val="00227204"/>
    <w:rsid w:val="0023013E"/>
    <w:rsid w:val="002369A2"/>
    <w:rsid w:val="0024610D"/>
    <w:rsid w:val="00252B88"/>
    <w:rsid w:val="002602D3"/>
    <w:rsid w:val="00266F04"/>
    <w:rsid w:val="00282C07"/>
    <w:rsid w:val="0028573D"/>
    <w:rsid w:val="002A1CE0"/>
    <w:rsid w:val="002A7801"/>
    <w:rsid w:val="002A7DBC"/>
    <w:rsid w:val="002B1B33"/>
    <w:rsid w:val="002C5527"/>
    <w:rsid w:val="002C66F1"/>
    <w:rsid w:val="002E222C"/>
    <w:rsid w:val="002F46F7"/>
    <w:rsid w:val="00305059"/>
    <w:rsid w:val="00320A6A"/>
    <w:rsid w:val="00332ED4"/>
    <w:rsid w:val="0033522D"/>
    <w:rsid w:val="00335CF4"/>
    <w:rsid w:val="00337AEE"/>
    <w:rsid w:val="00354EB5"/>
    <w:rsid w:val="00355295"/>
    <w:rsid w:val="003562EA"/>
    <w:rsid w:val="00362923"/>
    <w:rsid w:val="00371E38"/>
    <w:rsid w:val="0037309C"/>
    <w:rsid w:val="003764A8"/>
    <w:rsid w:val="00376D38"/>
    <w:rsid w:val="00377087"/>
    <w:rsid w:val="00380299"/>
    <w:rsid w:val="00394A5B"/>
    <w:rsid w:val="003A4933"/>
    <w:rsid w:val="003A7CF4"/>
    <w:rsid w:val="003B035F"/>
    <w:rsid w:val="003B5284"/>
    <w:rsid w:val="003C0C73"/>
    <w:rsid w:val="003C728C"/>
    <w:rsid w:val="003D0E4F"/>
    <w:rsid w:val="003D16E5"/>
    <w:rsid w:val="003E0E65"/>
    <w:rsid w:val="003E37C0"/>
    <w:rsid w:val="003E6EBB"/>
    <w:rsid w:val="003E7A45"/>
    <w:rsid w:val="003F460A"/>
    <w:rsid w:val="00414212"/>
    <w:rsid w:val="00416610"/>
    <w:rsid w:val="004214CD"/>
    <w:rsid w:val="004309AA"/>
    <w:rsid w:val="004341AF"/>
    <w:rsid w:val="00435997"/>
    <w:rsid w:val="00437028"/>
    <w:rsid w:val="00442E04"/>
    <w:rsid w:val="0045105A"/>
    <w:rsid w:val="00451913"/>
    <w:rsid w:val="00463E3D"/>
    <w:rsid w:val="004661F0"/>
    <w:rsid w:val="00466635"/>
    <w:rsid w:val="00481A74"/>
    <w:rsid w:val="0048226E"/>
    <w:rsid w:val="004A0F24"/>
    <w:rsid w:val="004A490B"/>
    <w:rsid w:val="004B02A8"/>
    <w:rsid w:val="004B0843"/>
    <w:rsid w:val="004B70A4"/>
    <w:rsid w:val="004C4941"/>
    <w:rsid w:val="004D2B7A"/>
    <w:rsid w:val="004E20CD"/>
    <w:rsid w:val="004F11AC"/>
    <w:rsid w:val="0050244C"/>
    <w:rsid w:val="005038C3"/>
    <w:rsid w:val="0051144B"/>
    <w:rsid w:val="00524FE6"/>
    <w:rsid w:val="00525D73"/>
    <w:rsid w:val="005278B2"/>
    <w:rsid w:val="00532D56"/>
    <w:rsid w:val="005379C1"/>
    <w:rsid w:val="00537D9A"/>
    <w:rsid w:val="0054081A"/>
    <w:rsid w:val="00544AAE"/>
    <w:rsid w:val="00556F1A"/>
    <w:rsid w:val="00562EBC"/>
    <w:rsid w:val="00570263"/>
    <w:rsid w:val="00570CA2"/>
    <w:rsid w:val="0057375A"/>
    <w:rsid w:val="005746B2"/>
    <w:rsid w:val="00577EE4"/>
    <w:rsid w:val="00582596"/>
    <w:rsid w:val="00590E6F"/>
    <w:rsid w:val="00592509"/>
    <w:rsid w:val="0059317B"/>
    <w:rsid w:val="005960D3"/>
    <w:rsid w:val="00596F81"/>
    <w:rsid w:val="00596FBD"/>
    <w:rsid w:val="005B1898"/>
    <w:rsid w:val="005B3A4B"/>
    <w:rsid w:val="005C6E8B"/>
    <w:rsid w:val="005C7060"/>
    <w:rsid w:val="005C791C"/>
    <w:rsid w:val="005E186B"/>
    <w:rsid w:val="005E29E3"/>
    <w:rsid w:val="005F2548"/>
    <w:rsid w:val="005F3C43"/>
    <w:rsid w:val="00605CD4"/>
    <w:rsid w:val="006133F3"/>
    <w:rsid w:val="00613B5E"/>
    <w:rsid w:val="006472C5"/>
    <w:rsid w:val="006545BC"/>
    <w:rsid w:val="0065636A"/>
    <w:rsid w:val="006575DF"/>
    <w:rsid w:val="00673814"/>
    <w:rsid w:val="00682545"/>
    <w:rsid w:val="00693E71"/>
    <w:rsid w:val="0069752E"/>
    <w:rsid w:val="006A22C4"/>
    <w:rsid w:val="006A4818"/>
    <w:rsid w:val="006B79AF"/>
    <w:rsid w:val="006C6AF7"/>
    <w:rsid w:val="006D0080"/>
    <w:rsid w:val="006D622B"/>
    <w:rsid w:val="006F3E89"/>
    <w:rsid w:val="007002F2"/>
    <w:rsid w:val="007023AC"/>
    <w:rsid w:val="00704E68"/>
    <w:rsid w:val="0071131E"/>
    <w:rsid w:val="007147A3"/>
    <w:rsid w:val="00714982"/>
    <w:rsid w:val="007207DF"/>
    <w:rsid w:val="00724AF0"/>
    <w:rsid w:val="00730204"/>
    <w:rsid w:val="007303D0"/>
    <w:rsid w:val="007442EB"/>
    <w:rsid w:val="0077371B"/>
    <w:rsid w:val="00782A2A"/>
    <w:rsid w:val="007A3360"/>
    <w:rsid w:val="007A7CCE"/>
    <w:rsid w:val="007D0044"/>
    <w:rsid w:val="007D6730"/>
    <w:rsid w:val="007D6AE1"/>
    <w:rsid w:val="007E1097"/>
    <w:rsid w:val="007F0481"/>
    <w:rsid w:val="00802EBB"/>
    <w:rsid w:val="008060B8"/>
    <w:rsid w:val="00812C06"/>
    <w:rsid w:val="008165D7"/>
    <w:rsid w:val="008309D1"/>
    <w:rsid w:val="0083342E"/>
    <w:rsid w:val="008342FA"/>
    <w:rsid w:val="00834DA1"/>
    <w:rsid w:val="00835494"/>
    <w:rsid w:val="008449D2"/>
    <w:rsid w:val="00852E1E"/>
    <w:rsid w:val="00864B6F"/>
    <w:rsid w:val="00882FB7"/>
    <w:rsid w:val="00891A77"/>
    <w:rsid w:val="008A7B26"/>
    <w:rsid w:val="008B2F84"/>
    <w:rsid w:val="008C02AF"/>
    <w:rsid w:val="008C6D2C"/>
    <w:rsid w:val="008D346D"/>
    <w:rsid w:val="008E53D2"/>
    <w:rsid w:val="008F4043"/>
    <w:rsid w:val="008F604B"/>
    <w:rsid w:val="008F7BDD"/>
    <w:rsid w:val="009013CD"/>
    <w:rsid w:val="009131BC"/>
    <w:rsid w:val="00920147"/>
    <w:rsid w:val="00921F68"/>
    <w:rsid w:val="00923A3D"/>
    <w:rsid w:val="00935886"/>
    <w:rsid w:val="00940209"/>
    <w:rsid w:val="00941842"/>
    <w:rsid w:val="00943DDB"/>
    <w:rsid w:val="00944D54"/>
    <w:rsid w:val="009532A1"/>
    <w:rsid w:val="00961254"/>
    <w:rsid w:val="00961FE3"/>
    <w:rsid w:val="00972CF1"/>
    <w:rsid w:val="00973D08"/>
    <w:rsid w:val="009746D9"/>
    <w:rsid w:val="00980A6E"/>
    <w:rsid w:val="00991D68"/>
    <w:rsid w:val="0099541C"/>
    <w:rsid w:val="00995656"/>
    <w:rsid w:val="00996E01"/>
    <w:rsid w:val="009A5BDE"/>
    <w:rsid w:val="009B374F"/>
    <w:rsid w:val="009B6C18"/>
    <w:rsid w:val="009C3C15"/>
    <w:rsid w:val="009C56DC"/>
    <w:rsid w:val="009F4215"/>
    <w:rsid w:val="00A13846"/>
    <w:rsid w:val="00A13911"/>
    <w:rsid w:val="00A23E4C"/>
    <w:rsid w:val="00A55F87"/>
    <w:rsid w:val="00A659E1"/>
    <w:rsid w:val="00A70BBC"/>
    <w:rsid w:val="00A86754"/>
    <w:rsid w:val="00A938DC"/>
    <w:rsid w:val="00A967E5"/>
    <w:rsid w:val="00A968AA"/>
    <w:rsid w:val="00A9701F"/>
    <w:rsid w:val="00AA5570"/>
    <w:rsid w:val="00AA55CA"/>
    <w:rsid w:val="00AB5F58"/>
    <w:rsid w:val="00AC0498"/>
    <w:rsid w:val="00AC3319"/>
    <w:rsid w:val="00AC4EA1"/>
    <w:rsid w:val="00AC7B5D"/>
    <w:rsid w:val="00AD67CC"/>
    <w:rsid w:val="00AE07E1"/>
    <w:rsid w:val="00AE1691"/>
    <w:rsid w:val="00AE4ACF"/>
    <w:rsid w:val="00B01B91"/>
    <w:rsid w:val="00B02D4D"/>
    <w:rsid w:val="00B04991"/>
    <w:rsid w:val="00B06630"/>
    <w:rsid w:val="00B16766"/>
    <w:rsid w:val="00B30CC3"/>
    <w:rsid w:val="00B35D5A"/>
    <w:rsid w:val="00B36BF6"/>
    <w:rsid w:val="00B424C9"/>
    <w:rsid w:val="00B428EF"/>
    <w:rsid w:val="00B451DA"/>
    <w:rsid w:val="00B501D6"/>
    <w:rsid w:val="00B537EC"/>
    <w:rsid w:val="00B53838"/>
    <w:rsid w:val="00B557CB"/>
    <w:rsid w:val="00B57ADD"/>
    <w:rsid w:val="00B7175E"/>
    <w:rsid w:val="00B936E6"/>
    <w:rsid w:val="00BA049E"/>
    <w:rsid w:val="00BA2881"/>
    <w:rsid w:val="00BB23E2"/>
    <w:rsid w:val="00BE313B"/>
    <w:rsid w:val="00C01AFF"/>
    <w:rsid w:val="00C0633B"/>
    <w:rsid w:val="00C13F16"/>
    <w:rsid w:val="00C141E7"/>
    <w:rsid w:val="00C15B49"/>
    <w:rsid w:val="00C2796D"/>
    <w:rsid w:val="00C47204"/>
    <w:rsid w:val="00C53C83"/>
    <w:rsid w:val="00C60FD0"/>
    <w:rsid w:val="00C654E9"/>
    <w:rsid w:val="00C70228"/>
    <w:rsid w:val="00C85F9D"/>
    <w:rsid w:val="00C945D5"/>
    <w:rsid w:val="00C94F52"/>
    <w:rsid w:val="00C953CC"/>
    <w:rsid w:val="00C9666F"/>
    <w:rsid w:val="00CB1E91"/>
    <w:rsid w:val="00CB2014"/>
    <w:rsid w:val="00CB288A"/>
    <w:rsid w:val="00CB7FF1"/>
    <w:rsid w:val="00CD3534"/>
    <w:rsid w:val="00CD4621"/>
    <w:rsid w:val="00CD4AEF"/>
    <w:rsid w:val="00CD71FC"/>
    <w:rsid w:val="00CE0526"/>
    <w:rsid w:val="00CE52AC"/>
    <w:rsid w:val="00CF290D"/>
    <w:rsid w:val="00CF453F"/>
    <w:rsid w:val="00D04EDE"/>
    <w:rsid w:val="00D04F21"/>
    <w:rsid w:val="00D22353"/>
    <w:rsid w:val="00D30A30"/>
    <w:rsid w:val="00D349FD"/>
    <w:rsid w:val="00D35B8A"/>
    <w:rsid w:val="00D75B72"/>
    <w:rsid w:val="00D87073"/>
    <w:rsid w:val="00D912BB"/>
    <w:rsid w:val="00D96335"/>
    <w:rsid w:val="00DA046E"/>
    <w:rsid w:val="00DA0483"/>
    <w:rsid w:val="00DA619A"/>
    <w:rsid w:val="00DB10A2"/>
    <w:rsid w:val="00DB15AD"/>
    <w:rsid w:val="00DB46F7"/>
    <w:rsid w:val="00DC4C33"/>
    <w:rsid w:val="00DD3097"/>
    <w:rsid w:val="00DD419F"/>
    <w:rsid w:val="00DE03F6"/>
    <w:rsid w:val="00DE0F06"/>
    <w:rsid w:val="00DE3B61"/>
    <w:rsid w:val="00DF2FA9"/>
    <w:rsid w:val="00DF3470"/>
    <w:rsid w:val="00DF5988"/>
    <w:rsid w:val="00DF666D"/>
    <w:rsid w:val="00E33D9E"/>
    <w:rsid w:val="00E347FC"/>
    <w:rsid w:val="00E36B94"/>
    <w:rsid w:val="00E377AB"/>
    <w:rsid w:val="00E412C6"/>
    <w:rsid w:val="00E46293"/>
    <w:rsid w:val="00E515F7"/>
    <w:rsid w:val="00E64B76"/>
    <w:rsid w:val="00E72801"/>
    <w:rsid w:val="00E74D8B"/>
    <w:rsid w:val="00E8607D"/>
    <w:rsid w:val="00E95962"/>
    <w:rsid w:val="00EB466F"/>
    <w:rsid w:val="00EC1F6E"/>
    <w:rsid w:val="00EC6AC8"/>
    <w:rsid w:val="00EC6C66"/>
    <w:rsid w:val="00ED08AE"/>
    <w:rsid w:val="00ED4BCA"/>
    <w:rsid w:val="00ED7250"/>
    <w:rsid w:val="00EF693B"/>
    <w:rsid w:val="00F00AE8"/>
    <w:rsid w:val="00F074B5"/>
    <w:rsid w:val="00F10BCC"/>
    <w:rsid w:val="00F11C9F"/>
    <w:rsid w:val="00F204EE"/>
    <w:rsid w:val="00F3111B"/>
    <w:rsid w:val="00F43D21"/>
    <w:rsid w:val="00F46E50"/>
    <w:rsid w:val="00F47BF5"/>
    <w:rsid w:val="00F56CF0"/>
    <w:rsid w:val="00F74F5C"/>
    <w:rsid w:val="00F93CD6"/>
    <w:rsid w:val="00FA0CC9"/>
    <w:rsid w:val="00FA5231"/>
    <w:rsid w:val="00FB7EDD"/>
    <w:rsid w:val="00FE15E9"/>
    <w:rsid w:val="00FE251D"/>
    <w:rsid w:val="00FF3B9D"/>
    <w:rsid w:val="00FF44FB"/>
    <w:rsid w:val="00FF5FB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13B"/>
    <w:rPr>
      <w:rFonts w:ascii="Courier" w:hAnsi="Courier"/>
      <w:lang w:val="es-ES_tradnl"/>
    </w:rPr>
  </w:style>
  <w:style w:type="paragraph" w:styleId="Ttulo1">
    <w:name w:val="heading 1"/>
    <w:basedOn w:val="Normal"/>
    <w:next w:val="Normal"/>
    <w:qFormat/>
    <w:rsid w:val="00BE313B"/>
    <w:pPr>
      <w:keepNext/>
      <w:jc w:val="both"/>
      <w:outlineLvl w:val="0"/>
    </w:pPr>
    <w:rPr>
      <w:rFonts w:ascii="Times New Roman" w:hAnsi="Times New Roman"/>
      <w:bCs/>
      <w:sz w:val="24"/>
      <w:szCs w:val="24"/>
      <w:u w:val="single"/>
    </w:rPr>
  </w:style>
  <w:style w:type="paragraph" w:styleId="Ttulo2">
    <w:name w:val="heading 2"/>
    <w:basedOn w:val="Normal"/>
    <w:next w:val="Normal"/>
    <w:qFormat/>
    <w:rsid w:val="00BE313B"/>
    <w:pPr>
      <w:keepNext/>
      <w:jc w:val="both"/>
      <w:outlineLvl w:val="1"/>
    </w:pPr>
    <w:rPr>
      <w:rFonts w:ascii="Times New Roman" w:hAnsi="Times New Roman"/>
      <w:bCs/>
      <w:sz w:val="24"/>
      <w:szCs w:val="24"/>
    </w:rPr>
  </w:style>
  <w:style w:type="paragraph" w:styleId="Ttulo3">
    <w:name w:val="heading 3"/>
    <w:basedOn w:val="Normal"/>
    <w:next w:val="Normal"/>
    <w:qFormat/>
    <w:rsid w:val="00BE313B"/>
    <w:pPr>
      <w:keepNext/>
      <w:jc w:val="both"/>
      <w:outlineLvl w:val="2"/>
    </w:pPr>
    <w:rPr>
      <w:rFonts w:ascii="Times New Roman" w:hAnsi="Times New Roman"/>
      <w:b/>
      <w:bCs/>
      <w:sz w:val="24"/>
      <w:szCs w:val="24"/>
    </w:rPr>
  </w:style>
  <w:style w:type="paragraph" w:styleId="Ttulo4">
    <w:name w:val="heading 4"/>
    <w:basedOn w:val="Normal"/>
    <w:next w:val="Normal"/>
    <w:qFormat/>
    <w:rsid w:val="00BE313B"/>
    <w:pPr>
      <w:keepNext/>
      <w:jc w:val="center"/>
      <w:outlineLvl w:val="3"/>
    </w:pPr>
    <w:rPr>
      <w:rFonts w:ascii="Times New Roman" w:hAnsi="Times New Roman"/>
      <w:b/>
      <w:sz w:val="48"/>
      <w:szCs w:val="24"/>
    </w:rPr>
  </w:style>
  <w:style w:type="paragraph" w:styleId="Ttulo5">
    <w:name w:val="heading 5"/>
    <w:basedOn w:val="Normal"/>
    <w:next w:val="Normal"/>
    <w:qFormat/>
    <w:rsid w:val="00BE313B"/>
    <w:pPr>
      <w:keepNext/>
      <w:jc w:val="center"/>
      <w:outlineLvl w:val="4"/>
    </w:pPr>
    <w:rPr>
      <w:rFonts w:ascii="Times New Roman" w:hAnsi="Times New Roman"/>
      <w:b/>
      <w:bCs/>
      <w:sz w:val="36"/>
      <w:szCs w:val="24"/>
    </w:rPr>
  </w:style>
  <w:style w:type="paragraph" w:styleId="Ttulo6">
    <w:name w:val="heading 6"/>
    <w:basedOn w:val="Normal"/>
    <w:next w:val="Normal"/>
    <w:qFormat/>
    <w:rsid w:val="00BE313B"/>
    <w:pPr>
      <w:keepNext/>
      <w:jc w:val="both"/>
      <w:outlineLvl w:val="5"/>
    </w:pPr>
    <w:rPr>
      <w:rFonts w:ascii="Times New Roman" w:hAnsi="Times New Roman"/>
      <w:b/>
      <w:bCs/>
      <w:sz w:val="28"/>
      <w:szCs w:val="24"/>
    </w:rPr>
  </w:style>
  <w:style w:type="paragraph" w:styleId="Ttulo7">
    <w:name w:val="heading 7"/>
    <w:basedOn w:val="Normal"/>
    <w:next w:val="Normal"/>
    <w:qFormat/>
    <w:rsid w:val="00BE313B"/>
    <w:pPr>
      <w:spacing w:before="240" w:after="60"/>
      <w:outlineLvl w:val="6"/>
    </w:pPr>
    <w:rPr>
      <w:rFonts w:ascii="Times New Roman" w:hAnsi="Times New Roman"/>
      <w:sz w:val="24"/>
      <w:lang w:val="es-ES"/>
    </w:rPr>
  </w:style>
  <w:style w:type="paragraph" w:styleId="Ttulo8">
    <w:name w:val="heading 8"/>
    <w:basedOn w:val="Normal"/>
    <w:next w:val="Normal"/>
    <w:qFormat/>
    <w:rsid w:val="00BE313B"/>
    <w:pPr>
      <w:keepNext/>
      <w:jc w:val="center"/>
      <w:outlineLvl w:val="7"/>
    </w:pPr>
    <w:rPr>
      <w:rFonts w:ascii="Times New Roman" w:hAnsi="Times New Roman"/>
      <w:b/>
      <w:sz w:val="24"/>
    </w:rPr>
  </w:style>
  <w:style w:type="paragraph" w:styleId="Ttulo9">
    <w:name w:val="heading 9"/>
    <w:basedOn w:val="Normal"/>
    <w:next w:val="Normal"/>
    <w:qFormat/>
    <w:rsid w:val="00BE313B"/>
    <w:pPr>
      <w:spacing w:before="240" w:after="60"/>
      <w:outlineLvl w:val="8"/>
    </w:pPr>
    <w:rPr>
      <w:rFonts w:ascii="Arial" w:hAnsi="Arial"/>
      <w:sz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313B"/>
    <w:pPr>
      <w:tabs>
        <w:tab w:val="center" w:pos="4252"/>
        <w:tab w:val="right" w:pos="8504"/>
      </w:tabs>
    </w:pPr>
  </w:style>
  <w:style w:type="paragraph" w:styleId="Textoindependiente">
    <w:name w:val="Body Text"/>
    <w:basedOn w:val="Normal"/>
    <w:rsid w:val="00BE313B"/>
    <w:pPr>
      <w:jc w:val="center"/>
    </w:pPr>
    <w:rPr>
      <w:rFonts w:ascii="Times New Roman" w:hAnsi="Times New Roman"/>
      <w:b/>
      <w:sz w:val="56"/>
      <w:szCs w:val="24"/>
    </w:rPr>
  </w:style>
  <w:style w:type="paragraph" w:styleId="Textoindependiente2">
    <w:name w:val="Body Text 2"/>
    <w:basedOn w:val="Normal"/>
    <w:rsid w:val="00BE313B"/>
    <w:pPr>
      <w:jc w:val="center"/>
    </w:pPr>
    <w:rPr>
      <w:rFonts w:ascii="Times New Roman" w:hAnsi="Times New Roman"/>
      <w:b/>
      <w:sz w:val="72"/>
      <w:szCs w:val="24"/>
    </w:rPr>
  </w:style>
  <w:style w:type="paragraph" w:customStyle="1" w:styleId="1">
    <w:name w:val="1."/>
    <w:basedOn w:val="Normal"/>
    <w:rsid w:val="00BE313B"/>
    <w:pPr>
      <w:keepNext/>
      <w:keepLines/>
      <w:numPr>
        <w:numId w:val="2"/>
      </w:numPr>
      <w:suppressAutoHyphens/>
      <w:spacing w:before="360" w:after="240" w:line="240" w:lineRule="exact"/>
      <w:jc w:val="both"/>
    </w:pPr>
    <w:rPr>
      <w:rFonts w:ascii="Arial Narrow" w:hAnsi="Arial Narrow"/>
      <w:b/>
      <w:caps/>
      <w:color w:val="000000"/>
      <w:sz w:val="28"/>
      <w:lang w:val="es-AR"/>
    </w:rPr>
  </w:style>
  <w:style w:type="paragraph" w:customStyle="1" w:styleId="111">
    <w:name w:val="1.1.1"/>
    <w:basedOn w:val="Normal"/>
    <w:rsid w:val="00BE313B"/>
    <w:pPr>
      <w:numPr>
        <w:ilvl w:val="2"/>
        <w:numId w:val="3"/>
      </w:numPr>
      <w:suppressAutoHyphens/>
      <w:spacing w:before="240" w:after="120"/>
      <w:jc w:val="both"/>
    </w:pPr>
    <w:rPr>
      <w:rFonts w:ascii="Arial" w:hAnsi="Arial"/>
      <w:b/>
      <w:color w:val="000000"/>
      <w:lang w:val="es-AR"/>
    </w:rPr>
  </w:style>
  <w:style w:type="paragraph" w:customStyle="1" w:styleId="TITULO1">
    <w:name w:val="TITULO 1"/>
    <w:basedOn w:val="Ttulo3"/>
    <w:next w:val="Normal"/>
    <w:autoRedefine/>
    <w:rsid w:val="00BE313B"/>
    <w:pPr>
      <w:keepNext w:val="0"/>
      <w:numPr>
        <w:numId w:val="4"/>
      </w:numPr>
      <w:spacing w:after="120"/>
      <w:outlineLvl w:val="9"/>
    </w:pPr>
    <w:rPr>
      <w:bCs w:val="0"/>
      <w:szCs w:val="20"/>
      <w:lang w:val="es-AR"/>
    </w:rPr>
  </w:style>
  <w:style w:type="paragraph" w:styleId="Textocomentario">
    <w:name w:val="annotation text"/>
    <w:basedOn w:val="Normal"/>
    <w:semiHidden/>
    <w:rsid w:val="00BE313B"/>
    <w:pPr>
      <w:widowControl w:val="0"/>
      <w:numPr>
        <w:ilvl w:val="1"/>
        <w:numId w:val="1"/>
      </w:numPr>
      <w:suppressAutoHyphens/>
    </w:pPr>
    <w:rPr>
      <w:rFonts w:ascii="Arial Narrow" w:hAnsi="Arial Narrow"/>
      <w:color w:val="000000"/>
      <w:lang w:val="es-ES"/>
    </w:rPr>
  </w:style>
  <w:style w:type="paragraph" w:customStyle="1" w:styleId="estilo2">
    <w:name w:val="estilo 2"/>
    <w:basedOn w:val="Normal"/>
    <w:rsid w:val="00BE313B"/>
    <w:pPr>
      <w:jc w:val="center"/>
    </w:pPr>
    <w:rPr>
      <w:rFonts w:ascii="Times New Roman" w:hAnsi="Times New Roman"/>
      <w:b/>
      <w:sz w:val="22"/>
      <w:u w:val="single"/>
    </w:rPr>
  </w:style>
  <w:style w:type="paragraph" w:customStyle="1" w:styleId="estilo1">
    <w:name w:val="estilo1"/>
    <w:basedOn w:val="Normal"/>
    <w:rsid w:val="00BE313B"/>
    <w:rPr>
      <w:rFonts w:ascii="Courier New" w:hAnsi="Courier New"/>
      <w:b/>
      <w:sz w:val="22"/>
      <w:u w:val="single"/>
    </w:rPr>
  </w:style>
  <w:style w:type="paragraph" w:styleId="Sangradetextonormal">
    <w:name w:val="Body Text Indent"/>
    <w:basedOn w:val="Normal"/>
    <w:rsid w:val="00BE313B"/>
    <w:pPr>
      <w:ind w:left="360"/>
      <w:jc w:val="both"/>
    </w:pPr>
    <w:rPr>
      <w:rFonts w:ascii="Times New Roman" w:hAnsi="Times New Roman"/>
      <w:sz w:val="24"/>
    </w:rPr>
  </w:style>
  <w:style w:type="paragraph" w:styleId="Sangra2detindependiente">
    <w:name w:val="Body Text Indent 2"/>
    <w:basedOn w:val="Normal"/>
    <w:rsid w:val="00BE313B"/>
    <w:pPr>
      <w:tabs>
        <w:tab w:val="left" w:pos="4111"/>
      </w:tabs>
      <w:ind w:left="1065"/>
      <w:jc w:val="both"/>
    </w:pPr>
    <w:rPr>
      <w:rFonts w:ascii="Arial" w:hAnsi="Arial"/>
      <w:sz w:val="24"/>
    </w:rPr>
  </w:style>
  <w:style w:type="paragraph" w:styleId="Textoindependiente3">
    <w:name w:val="Body Text 3"/>
    <w:basedOn w:val="Normal"/>
    <w:rsid w:val="00BE313B"/>
    <w:pPr>
      <w:jc w:val="both"/>
    </w:pPr>
    <w:rPr>
      <w:rFonts w:ascii="Times New Roman" w:hAnsi="Times New Roman"/>
      <w:sz w:val="24"/>
      <w:lang w:val="es-AR"/>
    </w:rPr>
  </w:style>
  <w:style w:type="character" w:styleId="Hipervnculo">
    <w:name w:val="Hyperlink"/>
    <w:basedOn w:val="Fuentedeprrafopredeter"/>
    <w:rsid w:val="00BE313B"/>
    <w:rPr>
      <w:color w:val="0000FF"/>
      <w:u w:val="single"/>
    </w:rPr>
  </w:style>
  <w:style w:type="paragraph" w:styleId="Textodebloque">
    <w:name w:val="Block Text"/>
    <w:basedOn w:val="Normal"/>
    <w:rsid w:val="00BE313B"/>
    <w:pPr>
      <w:spacing w:line="240" w:lineRule="exact"/>
      <w:ind w:left="1134" w:right="-284" w:hanging="1134"/>
      <w:jc w:val="both"/>
    </w:pPr>
    <w:rPr>
      <w:rFonts w:ascii="Times New Roman" w:hAnsi="Times New Roman"/>
      <w:sz w:val="24"/>
    </w:rPr>
  </w:style>
  <w:style w:type="paragraph" w:styleId="Sangra3detindependiente">
    <w:name w:val="Body Text Indent 3"/>
    <w:basedOn w:val="Normal"/>
    <w:rsid w:val="00BE313B"/>
    <w:pPr>
      <w:tabs>
        <w:tab w:val="num" w:pos="709"/>
        <w:tab w:val="left" w:pos="4111"/>
      </w:tabs>
      <w:ind w:left="142"/>
      <w:jc w:val="both"/>
    </w:pPr>
    <w:rPr>
      <w:rFonts w:ascii="Arial" w:hAnsi="Arial"/>
      <w:sz w:val="24"/>
    </w:rPr>
  </w:style>
  <w:style w:type="paragraph" w:styleId="Piedepgina">
    <w:name w:val="footer"/>
    <w:basedOn w:val="Normal"/>
    <w:rsid w:val="00BE313B"/>
    <w:pPr>
      <w:tabs>
        <w:tab w:val="center" w:pos="4419"/>
        <w:tab w:val="right" w:pos="8838"/>
      </w:tabs>
    </w:pPr>
  </w:style>
  <w:style w:type="paragraph" w:customStyle="1" w:styleId="Textonormal">
    <w:name w:val="Texto normal"/>
    <w:basedOn w:val="Normal"/>
    <w:rsid w:val="00BE313B"/>
    <w:pPr>
      <w:jc w:val="both"/>
    </w:pPr>
    <w:rPr>
      <w:rFonts w:ascii="Times New Roman" w:hAnsi="Times New Roman"/>
      <w:color w:val="FF0000"/>
      <w:sz w:val="24"/>
    </w:rPr>
  </w:style>
  <w:style w:type="character" w:styleId="Nmerodepgina">
    <w:name w:val="page number"/>
    <w:basedOn w:val="Fuentedeprrafopredeter"/>
    <w:rsid w:val="00BE313B"/>
  </w:style>
  <w:style w:type="paragraph" w:customStyle="1" w:styleId="Estilo4">
    <w:name w:val="Estilo4"/>
    <w:basedOn w:val="Normal"/>
    <w:rsid w:val="00E95962"/>
    <w:pPr>
      <w:widowControl w:val="0"/>
      <w:tabs>
        <w:tab w:val="left" w:pos="-1440"/>
        <w:tab w:val="left" w:pos="-720"/>
        <w:tab w:val="left" w:pos="0"/>
      </w:tabs>
      <w:ind w:left="720" w:hanging="720"/>
      <w:jc w:val="both"/>
    </w:pPr>
    <w:rPr>
      <w:rFonts w:ascii="Arial" w:hAnsi="Arial"/>
      <w:b/>
      <w:i/>
      <w:spacing w:val="-2"/>
      <w:sz w:val="22"/>
    </w:rPr>
  </w:style>
  <w:style w:type="paragraph" w:styleId="Prrafodelista">
    <w:name w:val="List Paragraph"/>
    <w:basedOn w:val="Normal"/>
    <w:uiPriority w:val="34"/>
    <w:qFormat/>
    <w:rsid w:val="00DD419F"/>
    <w:pPr>
      <w:ind w:left="720"/>
      <w:contextualSpacing/>
    </w:pPr>
  </w:style>
  <w:style w:type="character" w:styleId="Textodelmarcadordeposicin">
    <w:name w:val="Placeholder Text"/>
    <w:basedOn w:val="Fuentedeprrafopredeter"/>
    <w:uiPriority w:val="99"/>
    <w:semiHidden/>
    <w:rsid w:val="0048226E"/>
    <w:rPr>
      <w:color w:val="808080"/>
    </w:rPr>
  </w:style>
  <w:style w:type="paragraph" w:styleId="Textodeglobo">
    <w:name w:val="Balloon Text"/>
    <w:basedOn w:val="Normal"/>
    <w:link w:val="TextodegloboCar"/>
    <w:rsid w:val="0048226E"/>
    <w:rPr>
      <w:rFonts w:ascii="Tahoma" w:hAnsi="Tahoma" w:cs="Tahoma"/>
      <w:sz w:val="16"/>
      <w:szCs w:val="16"/>
    </w:rPr>
  </w:style>
  <w:style w:type="character" w:customStyle="1" w:styleId="TextodegloboCar">
    <w:name w:val="Texto de globo Car"/>
    <w:basedOn w:val="Fuentedeprrafopredeter"/>
    <w:link w:val="Textodeglobo"/>
    <w:rsid w:val="0048226E"/>
    <w:rPr>
      <w:rFonts w:ascii="Tahoma" w:hAnsi="Tahoma" w:cs="Tahoma"/>
      <w:sz w:val="16"/>
      <w:szCs w:val="16"/>
      <w:lang w:val="es-ES_tradnl"/>
    </w:rPr>
  </w:style>
  <w:style w:type="table" w:customStyle="1" w:styleId="Tablaconcuadrcula1">
    <w:name w:val="Tabla con cuadrícula1"/>
    <w:basedOn w:val="Tablanormal"/>
    <w:next w:val="Tablaconcuadrcula"/>
    <w:uiPriority w:val="59"/>
    <w:rsid w:val="00524FE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524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C953C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68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3DD29-FADC-4B54-B2F0-5FEC7FCE9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975</Words>
  <Characters>5366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Capitulo 4: Banco de Baterias de 110 Voltios</vt:lpstr>
    </vt:vector>
  </TitlesOfParts>
  <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4: Banco de Baterias de 110 Voltios</dc:title>
  <dc:creator>Usuario</dc:creator>
  <cp:lastModifiedBy>José Antonio Cordomi</cp:lastModifiedBy>
  <cp:revision>4</cp:revision>
  <cp:lastPrinted>2012-09-10T20:13:00Z</cp:lastPrinted>
  <dcterms:created xsi:type="dcterms:W3CDTF">2016-10-13T12:45:00Z</dcterms:created>
  <dcterms:modified xsi:type="dcterms:W3CDTF">2016-10-13T13:37:00Z</dcterms:modified>
</cp:coreProperties>
</file>